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80"/>
      </w:pPr>
      <w:r>
        <w:rPr>
          <w:rFonts w:ascii="Calibri" w:hAnsi="Calibri"/>
          <w:b/>
          <w:color w:val="B89A5B"/>
          <w:sz w:val="20"/>
        </w:rPr>
        <w:t>Valore Registry</w:t>
      </w:r>
    </w:p>
    <w:p>
      <w:pPr>
        <w:spacing w:after="240"/>
      </w:pPr>
      <w:r>
        <w:rPr>
          <w:rFonts w:ascii="Cambria" w:hAnsi="Cambria"/>
          <w:b/>
          <w:color w:val="0B1A33"/>
          <w:sz w:val="56"/>
        </w:rPr>
        <w:t>Lender Checklist</w:t>
      </w:r>
    </w:p>
    <w:p>
      <w:pPr>
        <w:spacing w:after="80"/>
      </w:pPr>
      <w:r>
        <w:rPr>
          <w:rFonts w:ascii="Calibri" w:hAnsi="Calibri"/>
          <w:i/>
          <w:color w:val="3D4757"/>
          <w:sz w:val="22"/>
        </w:rPr>
        <w:t>Lender-submission checklist and document tracker. Organizes the data room, lender package, sponsor diligence, third-party reports, and follow-up items before outreach.</w:t>
      </w:r>
    </w:p>
    <w:p>
      <w:pPr>
        <w:spacing w:before="320" w:after="120"/>
      </w:pPr>
      <w:r>
        <w:rPr>
          <w:rFonts w:ascii="Calibri" w:hAnsi="Calibri"/>
          <w:b/>
          <w:color w:val="B89A5B"/>
          <w:sz w:val="22"/>
        </w:rPr>
        <w:t>1 · PURPOSE AND HOW TO USE</w:t>
      </w:r>
    </w:p>
    <w:p>
      <w:pPr>
        <w:spacing w:after="80"/>
      </w:pPr>
      <w:r>
        <w:rPr>
          <w:rFonts w:ascii="Calibri" w:hAnsi="Calibri"/>
          <w:i w:val="0"/>
          <w:sz w:val="20"/>
        </w:rPr>
        <w:t>Lenders ask for 80-150 documents over a typical financing. Without a tracker, the team rediscovers what's outstanding every Tuesday. Use this checklist to set up the data room before outreach, drive the weekly status meeting, and leave an audit trail of what was provided.</w:t>
      </w:r>
    </w:p>
    <w:p>
      <w:pPr>
        <w:pStyle w:val="ListBullet"/>
        <w:spacing w:after="40"/>
      </w:pPr>
      <w:r>
        <w:rPr>
          <w:rFonts w:ascii="Calibri" w:hAnsi="Calibri"/>
          <w:sz w:val="20"/>
        </w:rPr>
        <w:t>Set the loan type on the XLSX Instructions tab — drives which items are required vs optional.</w:t>
      </w:r>
    </w:p>
    <w:p>
      <w:pPr>
        <w:pStyle w:val="ListBullet"/>
        <w:spacing w:after="40"/>
      </w:pPr>
      <w:r>
        <w:rPr>
          <w:rFonts w:ascii="Calibri" w:hAnsi="Calibri"/>
          <w:sz w:val="20"/>
        </w:rPr>
        <w:t>Walk through the 13 sections below; for each item, transcribe its status into the XLSX Master Checklist.</w:t>
      </w:r>
    </w:p>
    <w:p>
      <w:pPr>
        <w:pStyle w:val="ListBullet"/>
        <w:spacing w:after="40"/>
      </w:pPr>
      <w:r>
        <w:rPr>
          <w:rFonts w:ascii="Calibri" w:hAnsi="Calibri"/>
          <w:sz w:val="20"/>
        </w:rPr>
        <w:t>Use the Missing Items tab to drive the weekly status call.</w:t>
      </w:r>
    </w:p>
    <w:p>
      <w:pPr>
        <w:pStyle w:val="ListBullet"/>
        <w:spacing w:after="40"/>
      </w:pPr>
      <w:r>
        <w:rPr>
          <w:rFonts w:ascii="Calibri" w:hAnsi="Calibri"/>
          <w:sz w:val="20"/>
        </w:rPr>
        <w:t>Log every lender question in the Lender Q&amp;A tab — it becomes the diligence audit trail.</w:t>
      </w:r>
    </w:p>
    <w:p>
      <w:pPr>
        <w:spacing w:before="320" w:after="120"/>
      </w:pPr>
      <w:r>
        <w:rPr>
          <w:rFonts w:ascii="Calibri" w:hAnsi="Calibri"/>
          <w:b/>
          <w:color w:val="B89A5B"/>
          <w:sz w:val="22"/>
        </w:rPr>
        <w:t>2 · EXECUTIVE PACKAGE</w:t>
      </w:r>
    </w:p>
    <w:p>
      <w:pPr>
        <w:spacing w:after="80"/>
      </w:pPr>
      <w:r>
        <w:rPr>
          <w:rFonts w:ascii="Calibri" w:hAnsi="Calibri"/>
          <w:i/>
          <w:color w:val="3D4757"/>
          <w:sz w:val="20"/>
        </w:rPr>
        <w:t>The first items that ship to the lender — the package that's read once and decides whether the deal is taken seriously. Keep it tight.</w:t>
      </w:r>
    </w:p>
    <w:p>
      <w:pPr>
        <w:pStyle w:val="ListBullet"/>
        <w:spacing w:after="40"/>
      </w:pPr>
      <w:r>
        <w:rPr>
          <w:rFonts w:ascii="Calibri" w:hAnsi="Calibri"/>
          <w:sz w:val="20"/>
        </w:rPr>
        <w:t>Deal summary (one page).</w:t>
      </w:r>
    </w:p>
    <w:p>
      <w:pPr>
        <w:pStyle w:val="ListBullet"/>
        <w:spacing w:after="40"/>
      </w:pPr>
      <w:r>
        <w:rPr>
          <w:rFonts w:ascii="Calibri" w:hAnsi="Calibri"/>
          <w:sz w:val="20"/>
        </w:rPr>
        <w:t>Property overview with photos.</w:t>
      </w:r>
    </w:p>
    <w:p>
      <w:pPr>
        <w:pStyle w:val="ListBullet"/>
        <w:spacing w:after="40"/>
      </w:pPr>
      <w:r>
        <w:rPr>
          <w:rFonts w:ascii="Calibri" w:hAnsi="Calibri"/>
          <w:sz w:val="20"/>
        </w:rPr>
        <w:t>Sources &amp; uses table.</w:t>
      </w:r>
    </w:p>
    <w:p>
      <w:pPr>
        <w:pStyle w:val="ListBullet"/>
        <w:spacing w:after="40"/>
      </w:pPr>
      <w:r>
        <w:rPr>
          <w:rFonts w:ascii="Calibri" w:hAnsi="Calibri"/>
          <w:sz w:val="20"/>
        </w:rPr>
        <w:t>Loan request — amount, type, term, rate target, exit strategy.</w:t>
      </w:r>
    </w:p>
    <w:p>
      <w:pPr>
        <w:pStyle w:val="ListBullet"/>
        <w:spacing w:after="40"/>
      </w:pPr>
      <w:r>
        <w:rPr>
          <w:rFonts w:ascii="Calibri" w:hAnsi="Calibri"/>
          <w:sz w:val="20"/>
        </w:rPr>
        <w:t>Business plan summary (1-2 paragraphs).</w:t>
      </w:r>
    </w:p>
    <w:p>
      <w:pPr>
        <w:pStyle w:val="ListBullet"/>
        <w:spacing w:after="40"/>
      </w:pPr>
      <w:r>
        <w:rPr>
          <w:rFonts w:ascii="Calibri" w:hAnsi="Calibri"/>
          <w:sz w:val="20"/>
        </w:rPr>
        <w:t>Capital stack diagram.</w:t>
      </w:r>
    </w:p>
    <w:p>
      <w:pPr>
        <w:pStyle w:val="ListBullet"/>
        <w:spacing w:after="40"/>
      </w:pPr>
      <w:r>
        <w:rPr>
          <w:rFonts w:ascii="Calibri" w:hAnsi="Calibri"/>
          <w:sz w:val="20"/>
        </w:rPr>
        <w:t>Timeline (target close, key milestones).</w:t>
      </w:r>
    </w:p>
    <w:p>
      <w:pPr>
        <w:pStyle w:val="ListBullet"/>
        <w:spacing w:after="40"/>
      </w:pPr>
      <w:r>
        <w:rPr>
          <w:rFonts w:ascii="Calibri" w:hAnsi="Calibri"/>
          <w:sz w:val="20"/>
        </w:rPr>
        <w:t>Exit strategy (sale, refi, hold).</w:t>
      </w:r>
    </w:p>
    <w:p>
      <w:pPr>
        <w:pStyle w:val="ListBullet"/>
        <w:spacing w:after="40"/>
      </w:pPr>
      <w:r>
        <w:rPr>
          <w:rFonts w:ascii="Calibri" w:hAnsi="Calibri"/>
          <w:sz w:val="20"/>
        </w:rPr>
        <w:t>Key risks and mitigants (honest — buyers see through fluff).</w:t>
      </w:r>
    </w:p>
    <w:p>
      <w:pPr>
        <w:pStyle w:val="ListBullet"/>
        <w:spacing w:after="40"/>
      </w:pPr>
      <w:r>
        <w:rPr>
          <w:rFonts w:ascii="Calibri" w:hAnsi="Calibri"/>
          <w:sz w:val="20"/>
        </w:rPr>
        <w:t>Sponsor bio (1 paragraph + track record summary).</w:t>
      </w:r>
    </w:p>
    <w:p>
      <w:pPr>
        <w:spacing w:before="320" w:after="120"/>
      </w:pPr>
      <w:r>
        <w:rPr>
          <w:rFonts w:ascii="Calibri" w:hAnsi="Calibri"/>
          <w:b/>
          <w:color w:val="B89A5B"/>
          <w:sz w:val="22"/>
        </w:rPr>
        <w:t>3 · PROPERTY INFORMATION</w:t>
      </w:r>
    </w:p>
    <w:p>
      <w:pPr>
        <w:pStyle w:val="ListBullet"/>
        <w:spacing w:after="40"/>
      </w:pPr>
      <w:r>
        <w:rPr>
          <w:rFonts w:ascii="Calibri" w:hAnsi="Calibri"/>
          <w:sz w:val="20"/>
        </w:rPr>
        <w:t>Address and parcel IDs.</w:t>
      </w:r>
    </w:p>
    <w:p>
      <w:pPr>
        <w:pStyle w:val="ListBullet"/>
        <w:spacing w:after="40"/>
      </w:pPr>
      <w:r>
        <w:rPr>
          <w:rFonts w:ascii="Calibri" w:hAnsi="Calibri"/>
          <w:sz w:val="20"/>
        </w:rPr>
        <w:t>Site plan and survey (current).</w:t>
      </w:r>
    </w:p>
    <w:p>
      <w:pPr>
        <w:pStyle w:val="ListBullet"/>
        <w:spacing w:after="40"/>
      </w:pPr>
      <w:r>
        <w:rPr>
          <w:rFonts w:ascii="Calibri" w:hAnsi="Calibri"/>
          <w:sz w:val="20"/>
        </w:rPr>
        <w:t>Zoning report (if zoning-dependent business plan).</w:t>
      </w:r>
    </w:p>
    <w:p>
      <w:pPr>
        <w:pStyle w:val="ListBullet"/>
        <w:spacing w:after="40"/>
      </w:pPr>
      <w:r>
        <w:rPr>
          <w:rFonts w:ascii="Calibri" w:hAnsi="Calibri"/>
          <w:sz w:val="20"/>
        </w:rPr>
        <w:t>Floor plans (existing or planned).</w:t>
      </w:r>
    </w:p>
    <w:p>
      <w:pPr>
        <w:pStyle w:val="ListBullet"/>
        <w:spacing w:after="40"/>
      </w:pPr>
      <w:r>
        <w:rPr>
          <w:rFonts w:ascii="Calibri" w:hAnsi="Calibri"/>
          <w:sz w:val="20"/>
        </w:rPr>
        <w:t>Unit mix / rent roll.</w:t>
      </w:r>
    </w:p>
    <w:p>
      <w:pPr>
        <w:pStyle w:val="ListBullet"/>
        <w:spacing w:after="40"/>
      </w:pPr>
      <w:r>
        <w:rPr>
          <w:rFonts w:ascii="Calibri" w:hAnsi="Calibri"/>
          <w:sz w:val="20"/>
        </w:rPr>
        <w:t>Property photos (recent, professional preferred).</w:t>
      </w:r>
    </w:p>
    <w:p>
      <w:pPr>
        <w:pStyle w:val="ListBullet"/>
        <w:spacing w:after="40"/>
      </w:pPr>
      <w:r>
        <w:rPr>
          <w:rFonts w:ascii="Calibri" w:hAnsi="Calibri"/>
          <w:sz w:val="20"/>
        </w:rPr>
        <w:t>Property management information.</w:t>
      </w:r>
    </w:p>
    <w:p>
      <w:pPr>
        <w:pStyle w:val="ListBullet"/>
        <w:spacing w:after="40"/>
      </w:pPr>
      <w:r>
        <w:rPr>
          <w:rFonts w:ascii="Calibri" w:hAnsi="Calibri"/>
          <w:sz w:val="20"/>
        </w:rPr>
        <w:t>Leasing status (occupancy, rent roll, recent leases).</w:t>
      </w:r>
    </w:p>
    <w:p>
      <w:pPr>
        <w:pStyle w:val="ListBullet"/>
        <w:spacing w:after="40"/>
      </w:pPr>
      <w:r>
        <w:rPr>
          <w:rFonts w:ascii="Calibri" w:hAnsi="Calibri"/>
          <w:sz w:val="20"/>
        </w:rPr>
        <w:t>Existing appraisal if available.</w:t>
      </w:r>
    </w:p>
    <w:p>
      <w:pPr>
        <w:pStyle w:val="ListBullet"/>
        <w:spacing w:after="40"/>
      </w:pPr>
      <w:r>
        <w:rPr>
          <w:rFonts w:ascii="Calibri" w:hAnsi="Calibri"/>
          <w:sz w:val="20"/>
        </w:rPr>
        <w:t>Environmental Phase I and Property Condition Report (if existing asset).</w:t>
      </w:r>
    </w:p>
    <w:p>
      <w:r>
        <w:br w:type="page"/>
      </w:r>
    </w:p>
    <w:p>
      <w:pPr>
        <w:spacing w:before="320" w:after="120"/>
      </w:pPr>
      <w:r>
        <w:rPr>
          <w:rFonts w:ascii="Calibri" w:hAnsi="Calibri"/>
          <w:b/>
          <w:color w:val="B89A5B"/>
          <w:sz w:val="22"/>
        </w:rPr>
        <w:t>4 · FINANCIAL INFORMATION</w:t>
      </w:r>
    </w:p>
    <w:p>
      <w:pPr>
        <w:pStyle w:val="ListBullet"/>
        <w:spacing w:after="40"/>
      </w:pPr>
      <w:r>
        <w:rPr>
          <w:rFonts w:ascii="Calibri" w:hAnsi="Calibri"/>
          <w:sz w:val="20"/>
        </w:rPr>
        <w:t>T-12 operating statement (trailing twelve months).</w:t>
      </w:r>
    </w:p>
    <w:p>
      <w:pPr>
        <w:pStyle w:val="ListBullet"/>
        <w:spacing w:after="40"/>
      </w:pPr>
      <w:r>
        <w:rPr>
          <w:rFonts w:ascii="Calibri" w:hAnsi="Calibri"/>
          <w:sz w:val="20"/>
        </w:rPr>
        <w:t>Year-to-date operating statement.</w:t>
      </w:r>
    </w:p>
    <w:p>
      <w:pPr>
        <w:pStyle w:val="ListBullet"/>
        <w:spacing w:after="40"/>
      </w:pPr>
      <w:r>
        <w:rPr>
          <w:rFonts w:ascii="Calibri" w:hAnsi="Calibri"/>
          <w:sz w:val="20"/>
        </w:rPr>
        <w:t>Historical operating statements (3 years).</w:t>
      </w:r>
    </w:p>
    <w:p>
      <w:pPr>
        <w:pStyle w:val="ListBullet"/>
        <w:spacing w:after="40"/>
      </w:pPr>
      <w:r>
        <w:rPr>
          <w:rFonts w:ascii="Calibri" w:hAnsi="Calibri"/>
          <w:sz w:val="20"/>
        </w:rPr>
        <w:t>Current rent roll with lease expirations.</w:t>
      </w:r>
    </w:p>
    <w:p>
      <w:pPr>
        <w:pStyle w:val="ListBullet"/>
        <w:spacing w:after="40"/>
      </w:pPr>
      <w:r>
        <w:rPr>
          <w:rFonts w:ascii="Calibri" w:hAnsi="Calibri"/>
          <w:sz w:val="20"/>
        </w:rPr>
        <w:t>Stabilized pro forma (Year 1 / Year 3 stabilized NOI).</w:t>
      </w:r>
    </w:p>
    <w:p>
      <w:pPr>
        <w:pStyle w:val="ListBullet"/>
        <w:spacing w:after="40"/>
      </w:pPr>
      <w:r>
        <w:rPr>
          <w:rFonts w:ascii="Calibri" w:hAnsi="Calibri"/>
          <w:sz w:val="20"/>
        </w:rPr>
        <w:t>Capex budget (if value-add or repositioning).</w:t>
      </w:r>
    </w:p>
    <w:p>
      <w:pPr>
        <w:pStyle w:val="ListBullet"/>
        <w:spacing w:after="40"/>
      </w:pPr>
      <w:r>
        <w:rPr>
          <w:rFonts w:ascii="Calibri" w:hAnsi="Calibri"/>
          <w:sz w:val="20"/>
        </w:rPr>
        <w:t>Construction budget (if construction).</w:t>
      </w:r>
    </w:p>
    <w:p>
      <w:pPr>
        <w:pStyle w:val="ListBullet"/>
        <w:spacing w:after="40"/>
      </w:pPr>
      <w:r>
        <w:rPr>
          <w:rFonts w:ascii="Calibri" w:hAnsi="Calibri"/>
          <w:sz w:val="20"/>
        </w:rPr>
        <w:t>Sources &amp; uses (detailed).</w:t>
      </w:r>
    </w:p>
    <w:p>
      <w:pPr>
        <w:pStyle w:val="ListBullet"/>
        <w:spacing w:after="40"/>
      </w:pPr>
      <w:r>
        <w:rPr>
          <w:rFonts w:ascii="Calibri" w:hAnsi="Calibri"/>
          <w:sz w:val="20"/>
        </w:rPr>
        <w:t>Tax bills (3 years).</w:t>
      </w:r>
    </w:p>
    <w:p>
      <w:pPr>
        <w:pStyle w:val="ListBullet"/>
        <w:spacing w:after="40"/>
      </w:pPr>
      <w:r>
        <w:rPr>
          <w:rFonts w:ascii="Calibri" w:hAnsi="Calibri"/>
          <w:sz w:val="20"/>
        </w:rPr>
        <w:t>Insurance quotes (proposed).</w:t>
      </w:r>
    </w:p>
    <w:p>
      <w:pPr>
        <w:pStyle w:val="ListBullet"/>
        <w:spacing w:after="40"/>
      </w:pPr>
      <w:r>
        <w:rPr>
          <w:rFonts w:ascii="Calibri" w:hAnsi="Calibri"/>
          <w:sz w:val="20"/>
        </w:rPr>
        <w:t>Utility bills (if borrower will operate).</w:t>
      </w:r>
    </w:p>
    <w:p>
      <w:pPr>
        <w:pStyle w:val="ListBullet"/>
        <w:spacing w:after="40"/>
      </w:pPr>
      <w:r>
        <w:rPr>
          <w:rFonts w:ascii="Calibri" w:hAnsi="Calibri"/>
          <w:sz w:val="20"/>
        </w:rPr>
        <w:t>Debt service calculation (sponsor's underwriting).</w:t>
      </w:r>
    </w:p>
    <w:p>
      <w:pPr>
        <w:spacing w:before="320" w:after="120"/>
      </w:pPr>
      <w:r>
        <w:rPr>
          <w:rFonts w:ascii="Calibri" w:hAnsi="Calibri"/>
          <w:b/>
          <w:color w:val="B89A5B"/>
          <w:sz w:val="22"/>
        </w:rPr>
        <w:t>5 · BUSINESS PLAN</w:t>
      </w:r>
    </w:p>
    <w:p>
      <w:pPr>
        <w:pStyle w:val="ListBullet"/>
        <w:spacing w:after="40"/>
      </w:pPr>
      <w:r>
        <w:rPr>
          <w:rFonts w:ascii="Calibri" w:hAnsi="Calibri"/>
          <w:sz w:val="20"/>
        </w:rPr>
        <w:t>Acquisition / refi / construction purpose statement.</w:t>
      </w:r>
    </w:p>
    <w:p>
      <w:pPr>
        <w:pStyle w:val="ListBullet"/>
        <w:spacing w:after="40"/>
      </w:pPr>
      <w:r>
        <w:rPr>
          <w:rFonts w:ascii="Calibri" w:hAnsi="Calibri"/>
          <w:sz w:val="20"/>
        </w:rPr>
        <w:t>Renovation plan (scope, budget, timing — if value-add).</w:t>
      </w:r>
    </w:p>
    <w:p>
      <w:pPr>
        <w:pStyle w:val="ListBullet"/>
        <w:spacing w:after="40"/>
      </w:pPr>
      <w:r>
        <w:rPr>
          <w:rFonts w:ascii="Calibri" w:hAnsi="Calibri"/>
          <w:sz w:val="20"/>
        </w:rPr>
        <w:t>Leasing plan (target tenant mix, rents, concessions).</w:t>
      </w:r>
    </w:p>
    <w:p>
      <w:pPr>
        <w:pStyle w:val="ListBullet"/>
        <w:spacing w:after="40"/>
      </w:pPr>
      <w:r>
        <w:rPr>
          <w:rFonts w:ascii="Calibri" w:hAnsi="Calibri"/>
          <w:sz w:val="20"/>
        </w:rPr>
        <w:t>Stabilization timeline.</w:t>
      </w:r>
    </w:p>
    <w:p>
      <w:pPr>
        <w:pStyle w:val="ListBullet"/>
        <w:spacing w:after="40"/>
      </w:pPr>
      <w:r>
        <w:rPr>
          <w:rFonts w:ascii="Calibri" w:hAnsi="Calibri"/>
          <w:sz w:val="20"/>
        </w:rPr>
        <w:t>Permitting status (if construction).</w:t>
      </w:r>
    </w:p>
    <w:p>
      <w:pPr>
        <w:pStyle w:val="ListBullet"/>
        <w:spacing w:after="40"/>
      </w:pPr>
      <w:r>
        <w:rPr>
          <w:rFonts w:ascii="Calibri" w:hAnsi="Calibri"/>
          <w:sz w:val="20"/>
        </w:rPr>
        <w:t>Construction timeline (if construction).</w:t>
      </w:r>
    </w:p>
    <w:p>
      <w:pPr>
        <w:pStyle w:val="ListBullet"/>
        <w:spacing w:after="40"/>
      </w:pPr>
      <w:r>
        <w:rPr>
          <w:rFonts w:ascii="Calibri" w:hAnsi="Calibri"/>
          <w:sz w:val="20"/>
        </w:rPr>
        <w:t>Draw schedule (if construction).</w:t>
      </w:r>
    </w:p>
    <w:p>
      <w:pPr>
        <w:pStyle w:val="ListBullet"/>
        <w:spacing w:after="40"/>
      </w:pPr>
      <w:r>
        <w:rPr>
          <w:rFonts w:ascii="Calibri" w:hAnsi="Calibri"/>
          <w:sz w:val="20"/>
        </w:rPr>
        <w:t>Exit strategy detail (sale vs refi assumptions).</w:t>
      </w:r>
    </w:p>
    <w:p>
      <w:pPr>
        <w:pStyle w:val="ListBullet"/>
        <w:spacing w:after="40"/>
      </w:pPr>
      <w:r>
        <w:rPr>
          <w:rFonts w:ascii="Calibri" w:hAnsi="Calibri"/>
          <w:sz w:val="20"/>
        </w:rPr>
        <w:t>Sensitivity analysis (best / base / downside cases).</w:t>
      </w:r>
    </w:p>
    <w:p>
      <w:pPr>
        <w:spacing w:before="320" w:after="120"/>
      </w:pPr>
      <w:r>
        <w:rPr>
          <w:rFonts w:ascii="Calibri" w:hAnsi="Calibri"/>
          <w:b/>
          <w:color w:val="B89A5B"/>
          <w:sz w:val="22"/>
        </w:rPr>
        <w:t>6 · SPONSORSHIP / GUARANTOR</w:t>
      </w:r>
    </w:p>
    <w:p>
      <w:pPr>
        <w:pStyle w:val="ListBullet"/>
        <w:spacing w:after="40"/>
      </w:pPr>
      <w:r>
        <w:rPr>
          <w:rFonts w:ascii="Calibri" w:hAnsi="Calibri"/>
          <w:sz w:val="20"/>
        </w:rPr>
        <w:t>Sponsor bio (detailed — founders, principals, years in market).</w:t>
      </w:r>
    </w:p>
    <w:p>
      <w:pPr>
        <w:pStyle w:val="ListBullet"/>
        <w:spacing w:after="40"/>
      </w:pPr>
      <w:r>
        <w:rPr>
          <w:rFonts w:ascii="Calibri" w:hAnsi="Calibri"/>
          <w:sz w:val="20"/>
        </w:rPr>
        <w:t>Track record (every deal, with realized outcomes).</w:t>
      </w:r>
    </w:p>
    <w:p>
      <w:pPr>
        <w:pStyle w:val="ListBullet"/>
        <w:spacing w:after="40"/>
      </w:pPr>
      <w:r>
        <w:rPr>
          <w:rFonts w:ascii="Calibri" w:hAnsi="Calibri"/>
          <w:sz w:val="20"/>
        </w:rPr>
        <w:t>Personal Financial Statement (PFS) — see Valore PFS/REO template.</w:t>
      </w:r>
    </w:p>
    <w:p>
      <w:pPr>
        <w:pStyle w:val="ListBullet"/>
        <w:spacing w:after="40"/>
      </w:pPr>
      <w:r>
        <w:rPr>
          <w:rFonts w:ascii="Calibri" w:hAnsi="Calibri"/>
          <w:sz w:val="20"/>
        </w:rPr>
        <w:t>REO schedule — see Valore PFS/REO template.</w:t>
      </w:r>
    </w:p>
    <w:p>
      <w:pPr>
        <w:pStyle w:val="ListBullet"/>
        <w:spacing w:after="40"/>
      </w:pPr>
      <w:r>
        <w:rPr>
          <w:rFonts w:ascii="Calibri" w:hAnsi="Calibri"/>
          <w:sz w:val="20"/>
        </w:rPr>
        <w:t>Organizational chart — see Valore Org Chart template.</w:t>
      </w:r>
    </w:p>
    <w:p>
      <w:pPr>
        <w:pStyle w:val="ListBullet"/>
        <w:spacing w:after="40"/>
      </w:pPr>
      <w:r>
        <w:rPr>
          <w:rFonts w:ascii="Calibri" w:hAnsi="Calibri"/>
          <w:sz w:val="20"/>
        </w:rPr>
        <w:t>Entity documents (operating agreement, certificate, EIN).</w:t>
      </w:r>
    </w:p>
    <w:p>
      <w:pPr>
        <w:pStyle w:val="ListBullet"/>
        <w:spacing w:after="40"/>
      </w:pPr>
      <w:r>
        <w:rPr>
          <w:rFonts w:ascii="Calibri" w:hAnsi="Calibri"/>
          <w:sz w:val="20"/>
        </w:rPr>
        <w:t>Guarantor financials (PFS, tax returns, bank statements as required).</w:t>
      </w:r>
    </w:p>
    <w:p>
      <w:pPr>
        <w:pStyle w:val="ListBullet"/>
        <w:spacing w:after="40"/>
      </w:pPr>
      <w:r>
        <w:rPr>
          <w:rFonts w:ascii="Calibri" w:hAnsi="Calibri"/>
          <w:sz w:val="20"/>
        </w:rPr>
        <w:t>Resume or project experience document.</w:t>
      </w:r>
    </w:p>
    <w:p>
      <w:pPr>
        <w:pStyle w:val="ListBullet"/>
        <w:spacing w:after="40"/>
      </w:pPr>
      <w:r>
        <w:rPr>
          <w:rFonts w:ascii="Calibri" w:hAnsi="Calibri"/>
          <w:sz w:val="20"/>
        </w:rPr>
        <w:t>References (3-5 for new lender relationships).</w:t>
      </w:r>
    </w:p>
    <w:p>
      <w:r>
        <w:br w:type="page"/>
      </w:r>
    </w:p>
    <w:p>
      <w:pPr>
        <w:spacing w:before="320" w:after="120"/>
      </w:pPr>
      <w:r>
        <w:rPr>
          <w:rFonts w:ascii="Calibri" w:hAnsi="Calibri"/>
          <w:b/>
          <w:color w:val="B89A5B"/>
          <w:sz w:val="22"/>
        </w:rPr>
        <w:t>7 · THIRD-PARTY REPORTS (LENDER-ORDERED)</w:t>
      </w:r>
    </w:p>
    <w:p>
      <w:pPr>
        <w:spacing w:after="80"/>
      </w:pPr>
      <w:r>
        <w:rPr>
          <w:rFonts w:ascii="Calibri" w:hAnsi="Calibri"/>
          <w:i/>
          <w:color w:val="3D4757"/>
          <w:sz w:val="20"/>
        </w:rPr>
        <w:t>Some are ordered by the lender, paid by sponsor. Others are sponsor-ordered but lender-reviewed. Engage early — appraisals run 21-30 days.</w:t>
      </w:r>
    </w:p>
    <w:p>
      <w:pPr>
        <w:pStyle w:val="ListBullet"/>
        <w:spacing w:after="40"/>
      </w:pPr>
      <w:r>
        <w:rPr>
          <w:rFonts w:ascii="Calibri" w:hAnsi="Calibri"/>
          <w:sz w:val="20"/>
        </w:rPr>
        <w:t>Appraisal (typically 21-30 days; lender orders).</w:t>
      </w:r>
    </w:p>
    <w:p>
      <w:pPr>
        <w:pStyle w:val="ListBullet"/>
        <w:spacing w:after="40"/>
      </w:pPr>
      <w:r>
        <w:rPr>
          <w:rFonts w:ascii="Calibri" w:hAnsi="Calibri"/>
          <w:sz w:val="20"/>
        </w:rPr>
        <w:t>Environmental Phase I (10-14 days).</w:t>
      </w:r>
    </w:p>
    <w:p>
      <w:pPr>
        <w:pStyle w:val="ListBullet"/>
        <w:spacing w:after="40"/>
      </w:pPr>
      <w:r>
        <w:rPr>
          <w:rFonts w:ascii="Calibri" w:hAnsi="Calibri"/>
          <w:sz w:val="20"/>
        </w:rPr>
        <w:t>Property Condition Assessment (10-14 days).</w:t>
      </w:r>
    </w:p>
    <w:p>
      <w:pPr>
        <w:pStyle w:val="ListBullet"/>
        <w:spacing w:after="40"/>
      </w:pPr>
      <w:r>
        <w:rPr>
          <w:rFonts w:ascii="Calibri" w:hAnsi="Calibri"/>
          <w:sz w:val="20"/>
        </w:rPr>
        <w:t>Zoning report (10-14 days).</w:t>
      </w:r>
    </w:p>
    <w:p>
      <w:pPr>
        <w:pStyle w:val="ListBullet"/>
        <w:spacing w:after="40"/>
      </w:pPr>
      <w:r>
        <w:rPr>
          <w:rFonts w:ascii="Calibri" w:hAnsi="Calibri"/>
          <w:sz w:val="20"/>
        </w:rPr>
        <w:t>Survey (14-30 days, ALTA extended typical).</w:t>
      </w:r>
    </w:p>
    <w:p>
      <w:pPr>
        <w:pStyle w:val="ListBullet"/>
        <w:spacing w:after="40"/>
      </w:pPr>
      <w:r>
        <w:rPr>
          <w:rFonts w:ascii="Calibri" w:hAnsi="Calibri"/>
          <w:sz w:val="20"/>
        </w:rPr>
        <w:t>Title commitment (5-10 days from title order).</w:t>
      </w:r>
    </w:p>
    <w:p>
      <w:pPr>
        <w:pStyle w:val="ListBullet"/>
        <w:spacing w:after="40"/>
      </w:pPr>
      <w:r>
        <w:rPr>
          <w:rFonts w:ascii="Calibri" w:hAnsi="Calibri"/>
          <w:sz w:val="20"/>
        </w:rPr>
        <w:t>Insurance consultant review (concurrent with closing prep).</w:t>
      </w:r>
    </w:p>
    <w:p>
      <w:pPr>
        <w:pStyle w:val="ListBullet"/>
        <w:spacing w:after="40"/>
      </w:pPr>
      <w:r>
        <w:rPr>
          <w:rFonts w:ascii="Calibri" w:hAnsi="Calibri"/>
          <w:sz w:val="20"/>
        </w:rPr>
        <w:t>Seismic report (if west coast or fault zone).</w:t>
      </w:r>
    </w:p>
    <w:p>
      <w:pPr>
        <w:pStyle w:val="ListBullet"/>
        <w:spacing w:after="40"/>
      </w:pPr>
      <w:r>
        <w:rPr>
          <w:rFonts w:ascii="Calibri" w:hAnsi="Calibri"/>
          <w:sz w:val="20"/>
        </w:rPr>
        <w:t>Market study (if equity raise or unfamiliar market).</w:t>
      </w:r>
    </w:p>
    <w:p>
      <w:pPr>
        <w:pStyle w:val="ListBullet"/>
        <w:spacing w:after="40"/>
      </w:pPr>
      <w:r>
        <w:rPr>
          <w:rFonts w:ascii="Calibri" w:hAnsi="Calibri"/>
          <w:sz w:val="20"/>
        </w:rPr>
        <w:t>Cost review (if construction; lender consultant).</w:t>
      </w:r>
    </w:p>
    <w:p>
      <w:pPr>
        <w:spacing w:before="320" w:after="120"/>
      </w:pPr>
      <w:r>
        <w:rPr>
          <w:rFonts w:ascii="Calibri" w:hAnsi="Calibri"/>
          <w:b/>
          <w:color w:val="B89A5B"/>
          <w:sz w:val="22"/>
        </w:rPr>
        <w:t>8 · LEGAL / ENTITY DOCUMENTS</w:t>
      </w:r>
    </w:p>
    <w:p>
      <w:pPr>
        <w:pStyle w:val="ListBullet"/>
        <w:spacing w:after="40"/>
      </w:pPr>
      <w:r>
        <w:rPr>
          <w:rFonts w:ascii="Calibri" w:hAnsi="Calibri"/>
          <w:sz w:val="20"/>
        </w:rPr>
        <w:t>Borrower entity documents (articles of organization, certificate of formation).</w:t>
      </w:r>
    </w:p>
    <w:p>
      <w:pPr>
        <w:pStyle w:val="ListBullet"/>
        <w:spacing w:after="40"/>
      </w:pPr>
      <w:r>
        <w:rPr>
          <w:rFonts w:ascii="Calibri" w:hAnsi="Calibri"/>
          <w:sz w:val="20"/>
        </w:rPr>
        <w:t>Operating agreement (LLC) or partnership agreement (LP).</w:t>
      </w:r>
    </w:p>
    <w:p>
      <w:pPr>
        <w:pStyle w:val="ListBullet"/>
        <w:spacing w:after="40"/>
      </w:pPr>
      <w:r>
        <w:rPr>
          <w:rFonts w:ascii="Calibri" w:hAnsi="Calibri"/>
          <w:sz w:val="20"/>
        </w:rPr>
        <w:t>Certificate of good standing (current — within 60 days).</w:t>
      </w:r>
    </w:p>
    <w:p>
      <w:pPr>
        <w:pStyle w:val="ListBullet"/>
        <w:spacing w:after="40"/>
      </w:pPr>
      <w:r>
        <w:rPr>
          <w:rFonts w:ascii="Calibri" w:hAnsi="Calibri"/>
          <w:sz w:val="20"/>
        </w:rPr>
        <w:t>EIN confirmation (IRS Form SS-4 or CP575).</w:t>
      </w:r>
    </w:p>
    <w:p>
      <w:pPr>
        <w:pStyle w:val="ListBullet"/>
        <w:spacing w:after="40"/>
      </w:pPr>
      <w:r>
        <w:rPr>
          <w:rFonts w:ascii="Calibri" w:hAnsi="Calibri"/>
          <w:sz w:val="20"/>
        </w:rPr>
        <w:t>Ownership chart with percentages.</w:t>
      </w:r>
    </w:p>
    <w:p>
      <w:pPr>
        <w:pStyle w:val="ListBullet"/>
        <w:spacing w:after="40"/>
      </w:pPr>
      <w:r>
        <w:rPr>
          <w:rFonts w:ascii="Calibri" w:hAnsi="Calibri"/>
          <w:sz w:val="20"/>
        </w:rPr>
        <w:t>KYC information for principals.</w:t>
      </w:r>
    </w:p>
    <w:p>
      <w:pPr>
        <w:pStyle w:val="ListBullet"/>
        <w:spacing w:after="40"/>
      </w:pPr>
      <w:r>
        <w:rPr>
          <w:rFonts w:ascii="Calibri" w:hAnsi="Calibri"/>
          <w:sz w:val="20"/>
        </w:rPr>
        <w:t>Litigation disclosure (current and within 5 years).</w:t>
      </w:r>
    </w:p>
    <w:p>
      <w:pPr>
        <w:pStyle w:val="ListBullet"/>
        <w:spacing w:after="40"/>
      </w:pPr>
      <w:r>
        <w:rPr>
          <w:rFonts w:ascii="Calibri" w:hAnsi="Calibri"/>
          <w:sz w:val="20"/>
        </w:rPr>
        <w:t>Existing loan documents (if refinance).</w:t>
      </w:r>
    </w:p>
    <w:p>
      <w:pPr>
        <w:pStyle w:val="ListBullet"/>
        <w:spacing w:after="40"/>
      </w:pPr>
      <w:r>
        <w:rPr>
          <w:rFonts w:ascii="Calibri" w:hAnsi="Calibri"/>
          <w:sz w:val="20"/>
        </w:rPr>
        <w:t>Purchase agreement (if acquisition).</w:t>
      </w:r>
    </w:p>
    <w:p>
      <w:pPr>
        <w:spacing w:before="320" w:after="120"/>
      </w:pPr>
      <w:r>
        <w:rPr>
          <w:rFonts w:ascii="Calibri" w:hAnsi="Calibri"/>
          <w:b/>
          <w:color w:val="B89A5B"/>
          <w:sz w:val="22"/>
        </w:rPr>
        <w:t>9 · CONSTRUCTION / RENOVATION DOCUMENTS</w:t>
      </w:r>
    </w:p>
    <w:p>
      <w:pPr>
        <w:pStyle w:val="ListBullet"/>
        <w:spacing w:after="40"/>
      </w:pPr>
      <w:r>
        <w:rPr>
          <w:rFonts w:ascii="Calibri" w:hAnsi="Calibri"/>
          <w:sz w:val="20"/>
        </w:rPr>
        <w:t>GMP contract (guaranteed maximum price construction contract).</w:t>
      </w:r>
    </w:p>
    <w:p>
      <w:pPr>
        <w:pStyle w:val="ListBullet"/>
        <w:spacing w:after="40"/>
      </w:pPr>
      <w:r>
        <w:rPr>
          <w:rFonts w:ascii="Calibri" w:hAnsi="Calibri"/>
          <w:sz w:val="20"/>
        </w:rPr>
        <w:t>Construction contract (executed).</w:t>
      </w:r>
    </w:p>
    <w:p>
      <w:pPr>
        <w:pStyle w:val="ListBullet"/>
        <w:spacing w:after="40"/>
      </w:pPr>
      <w:r>
        <w:rPr>
          <w:rFonts w:ascii="Calibri" w:hAnsi="Calibri"/>
          <w:sz w:val="20"/>
        </w:rPr>
        <w:t>General Contractor resume / qualifications.</w:t>
      </w:r>
    </w:p>
    <w:p>
      <w:pPr>
        <w:pStyle w:val="ListBullet"/>
        <w:spacing w:after="40"/>
      </w:pPr>
      <w:r>
        <w:rPr>
          <w:rFonts w:ascii="Calibri" w:hAnsi="Calibri"/>
          <w:sz w:val="20"/>
        </w:rPr>
        <w:t>Architect agreement.</w:t>
      </w:r>
    </w:p>
    <w:p>
      <w:pPr>
        <w:pStyle w:val="ListBullet"/>
        <w:spacing w:after="40"/>
      </w:pPr>
      <w:r>
        <w:rPr>
          <w:rFonts w:ascii="Calibri" w:hAnsi="Calibri"/>
          <w:sz w:val="20"/>
        </w:rPr>
        <w:t>Plans and specifications (100% Construction Documents preferred).</w:t>
      </w:r>
    </w:p>
    <w:p>
      <w:pPr>
        <w:pStyle w:val="ListBullet"/>
        <w:spacing w:after="40"/>
      </w:pPr>
      <w:r>
        <w:rPr>
          <w:rFonts w:ascii="Calibri" w:hAnsi="Calibri"/>
          <w:sz w:val="20"/>
        </w:rPr>
        <w:t>Permit status (issued, pending, none).</w:t>
      </w:r>
    </w:p>
    <w:p>
      <w:pPr>
        <w:pStyle w:val="ListBullet"/>
        <w:spacing w:after="40"/>
      </w:pPr>
      <w:r>
        <w:rPr>
          <w:rFonts w:ascii="Calibri" w:hAnsi="Calibri"/>
          <w:sz w:val="20"/>
        </w:rPr>
        <w:t>Construction budget (detailed, line-item).</w:t>
      </w:r>
    </w:p>
    <w:p>
      <w:pPr>
        <w:pStyle w:val="ListBullet"/>
        <w:spacing w:after="40"/>
      </w:pPr>
      <w:r>
        <w:rPr>
          <w:rFonts w:ascii="Calibri" w:hAnsi="Calibri"/>
          <w:sz w:val="20"/>
        </w:rPr>
        <w:t>Draw schedule (monthly cash needs).</w:t>
      </w:r>
    </w:p>
    <w:p>
      <w:pPr>
        <w:pStyle w:val="ListBullet"/>
        <w:spacing w:after="40"/>
      </w:pPr>
      <w:r>
        <w:rPr>
          <w:rFonts w:ascii="Calibri" w:hAnsi="Calibri"/>
          <w:sz w:val="20"/>
        </w:rPr>
        <w:t>Completion timeline.</w:t>
      </w:r>
    </w:p>
    <w:p>
      <w:pPr>
        <w:pStyle w:val="ListBullet"/>
        <w:spacing w:after="40"/>
      </w:pPr>
      <w:r>
        <w:rPr>
          <w:rFonts w:ascii="Calibri" w:hAnsi="Calibri"/>
          <w:sz w:val="20"/>
        </w:rPr>
        <w:t>Contingency (hard + soft) — typically 5% of hard cost.</w:t>
      </w:r>
    </w:p>
    <w:p>
      <w:pPr>
        <w:pStyle w:val="ListBullet"/>
        <w:spacing w:after="40"/>
      </w:pPr>
      <w:r>
        <w:rPr>
          <w:rFonts w:ascii="Calibri" w:hAnsi="Calibri"/>
          <w:sz w:val="20"/>
        </w:rPr>
        <w:t>Builders risk insurance.</w:t>
      </w:r>
    </w:p>
    <w:p>
      <w:pPr>
        <w:pStyle w:val="ListBullet"/>
        <w:spacing w:after="40"/>
      </w:pPr>
      <w:r>
        <w:rPr>
          <w:rFonts w:ascii="Calibri" w:hAnsi="Calibri"/>
          <w:sz w:val="20"/>
        </w:rPr>
        <w:t>Bonding info (if required by lender).</w:t>
      </w:r>
    </w:p>
    <w:p>
      <w:r>
        <w:br w:type="page"/>
      </w:r>
    </w:p>
    <w:p>
      <w:pPr>
        <w:spacing w:before="320" w:after="120"/>
      </w:pPr>
      <w:r>
        <w:rPr>
          <w:rFonts w:ascii="Calibri" w:hAnsi="Calibri"/>
          <w:b/>
          <w:color w:val="B89A5B"/>
          <w:sz w:val="22"/>
        </w:rPr>
        <w:t>10 · INSURANCE / TAXES</w:t>
      </w:r>
    </w:p>
    <w:p>
      <w:pPr>
        <w:pStyle w:val="ListBullet"/>
        <w:spacing w:after="40"/>
      </w:pPr>
      <w:r>
        <w:rPr>
          <w:rFonts w:ascii="Calibri" w:hAnsi="Calibri"/>
          <w:sz w:val="20"/>
        </w:rPr>
        <w:t>Current insurance policy (if existing asset).</w:t>
      </w:r>
    </w:p>
    <w:p>
      <w:pPr>
        <w:pStyle w:val="ListBullet"/>
        <w:spacing w:after="40"/>
      </w:pPr>
      <w:r>
        <w:rPr>
          <w:rFonts w:ascii="Calibri" w:hAnsi="Calibri"/>
          <w:sz w:val="20"/>
        </w:rPr>
        <w:t>Insurance quote (proposed coverage — see Valore Insurance Matrix template).</w:t>
      </w:r>
    </w:p>
    <w:p>
      <w:pPr>
        <w:pStyle w:val="ListBullet"/>
        <w:spacing w:after="40"/>
      </w:pPr>
      <w:r>
        <w:rPr>
          <w:rFonts w:ascii="Calibri" w:hAnsi="Calibri"/>
          <w:sz w:val="20"/>
        </w:rPr>
        <w:t>Tax bills (3-year history).</w:t>
      </w:r>
    </w:p>
    <w:p>
      <w:pPr>
        <w:pStyle w:val="ListBullet"/>
        <w:spacing w:after="40"/>
      </w:pPr>
      <w:r>
        <w:rPr>
          <w:rFonts w:ascii="Calibri" w:hAnsi="Calibri"/>
          <w:sz w:val="20"/>
        </w:rPr>
        <w:t>Tax assessment (current and prior).</w:t>
      </w:r>
    </w:p>
    <w:p>
      <w:pPr>
        <w:pStyle w:val="ListBullet"/>
        <w:spacing w:after="40"/>
      </w:pPr>
      <w:r>
        <w:rPr>
          <w:rFonts w:ascii="Calibri" w:hAnsi="Calibri"/>
          <w:sz w:val="20"/>
        </w:rPr>
        <w:t>Abatement / PILOT documents (if applicable — see Valore Tax Abatement template).</w:t>
      </w:r>
    </w:p>
    <w:p>
      <w:pPr>
        <w:pStyle w:val="ListBullet"/>
        <w:spacing w:after="40"/>
      </w:pPr>
      <w:r>
        <w:rPr>
          <w:rFonts w:ascii="Calibri" w:hAnsi="Calibri"/>
          <w:sz w:val="20"/>
        </w:rPr>
        <w:t>Escrow requirements (lender form).</w:t>
      </w:r>
    </w:p>
    <w:p>
      <w:pPr>
        <w:pStyle w:val="ListBullet"/>
        <w:spacing w:after="40"/>
      </w:pPr>
      <w:r>
        <w:rPr>
          <w:rFonts w:ascii="Calibri" w:hAnsi="Calibri"/>
          <w:sz w:val="20"/>
        </w:rPr>
        <w:t>Flood zone determination.</w:t>
      </w:r>
    </w:p>
    <w:p>
      <w:pPr>
        <w:spacing w:before="320" w:after="120"/>
      </w:pPr>
      <w:r>
        <w:rPr>
          <w:rFonts w:ascii="Calibri" w:hAnsi="Calibri"/>
          <w:b/>
          <w:color w:val="B89A5B"/>
          <w:sz w:val="22"/>
        </w:rPr>
        <w:t>11 · CLOSING PROCESS ITEMS</w:t>
      </w:r>
    </w:p>
    <w:p>
      <w:pPr>
        <w:pStyle w:val="ListBullet"/>
        <w:spacing w:after="40"/>
      </w:pPr>
      <w:r>
        <w:rPr>
          <w:rFonts w:ascii="Calibri" w:hAnsi="Calibri"/>
          <w:sz w:val="20"/>
        </w:rPr>
        <w:t>Funds flow (drafted, then approved).</w:t>
      </w:r>
    </w:p>
    <w:p>
      <w:pPr>
        <w:pStyle w:val="ListBullet"/>
        <w:spacing w:after="40"/>
      </w:pPr>
      <w:r>
        <w:rPr>
          <w:rFonts w:ascii="Calibri" w:hAnsi="Calibri"/>
          <w:sz w:val="20"/>
        </w:rPr>
        <w:t>Wire instructions (received + confirmed callback verification).</w:t>
      </w:r>
    </w:p>
    <w:p>
      <w:pPr>
        <w:pStyle w:val="ListBullet"/>
        <w:spacing w:after="40"/>
      </w:pPr>
      <w:r>
        <w:rPr>
          <w:rFonts w:ascii="Calibri" w:hAnsi="Calibri"/>
          <w:sz w:val="20"/>
        </w:rPr>
        <w:t>Settlement statement (drafted, approved).</w:t>
      </w:r>
    </w:p>
    <w:p>
      <w:pPr>
        <w:pStyle w:val="ListBullet"/>
        <w:spacing w:after="40"/>
      </w:pPr>
      <w:r>
        <w:rPr>
          <w:rFonts w:ascii="Calibri" w:hAnsi="Calibri"/>
          <w:sz w:val="20"/>
        </w:rPr>
        <w:t>Legal opinions (drafted, received).</w:t>
      </w:r>
    </w:p>
    <w:p>
      <w:pPr>
        <w:pStyle w:val="ListBullet"/>
        <w:spacing w:after="40"/>
      </w:pPr>
      <w:r>
        <w:rPr>
          <w:rFonts w:ascii="Calibri" w:hAnsi="Calibri"/>
          <w:sz w:val="20"/>
        </w:rPr>
        <w:t>Resolutions (drafted, executed).</w:t>
      </w:r>
    </w:p>
    <w:p>
      <w:pPr>
        <w:pStyle w:val="ListBullet"/>
        <w:spacing w:after="40"/>
      </w:pPr>
      <w:r>
        <w:rPr>
          <w:rFonts w:ascii="Calibri" w:hAnsi="Calibri"/>
          <w:sz w:val="20"/>
        </w:rPr>
        <w:t>Closing conditions checklist (track every closing condition individually).</w:t>
      </w:r>
    </w:p>
    <w:p>
      <w:pPr>
        <w:spacing w:before="320" w:after="120"/>
      </w:pPr>
      <w:r>
        <w:rPr>
          <w:rFonts w:ascii="Calibri" w:hAnsi="Calibri"/>
          <w:b/>
          <w:color w:val="B89A5B"/>
          <w:sz w:val="22"/>
        </w:rPr>
        <w:t>12 · SUBMISSION QUALITY CHECKLIST</w:t>
      </w:r>
    </w:p>
    <w:p>
      <w:pPr>
        <w:spacing w:after="80"/>
      </w:pPr>
      <w:r>
        <w:rPr>
          <w:rFonts w:ascii="Calibri" w:hAnsi="Calibri"/>
          <w:i/>
          <w:color w:val="3D4757"/>
          <w:sz w:val="20"/>
        </w:rPr>
        <w:t>The deal team sets the tone. A well-organized submission gets the lender's respect; a messy one signals operational risk.</w:t>
      </w:r>
    </w:p>
    <w:p>
      <w:pPr>
        <w:pStyle w:val="ListBullet"/>
        <w:spacing w:after="40"/>
      </w:pPr>
      <w:r>
        <w:rPr>
          <w:rFonts w:ascii="Calibri" w:hAnsi="Calibri"/>
          <w:sz w:val="20"/>
        </w:rPr>
        <w:t>File naming convention: [Property]_[Doc Type]_[YYYY-MM-DD].pdf</w:t>
      </w:r>
    </w:p>
    <w:p>
      <w:pPr>
        <w:pStyle w:val="ListBullet"/>
        <w:spacing w:after="40"/>
      </w:pPr>
      <w:r>
        <w:rPr>
          <w:rFonts w:ascii="Calibri" w:hAnsi="Calibri"/>
          <w:sz w:val="20"/>
        </w:rPr>
        <w:t>Folder structure standardized (see Valore Data Room Index).</w:t>
      </w:r>
    </w:p>
    <w:p>
      <w:pPr>
        <w:pStyle w:val="ListBullet"/>
        <w:spacing w:after="40"/>
      </w:pPr>
      <w:r>
        <w:rPr>
          <w:rFonts w:ascii="Calibri" w:hAnsi="Calibri"/>
          <w:sz w:val="20"/>
        </w:rPr>
        <w:t>Cover memo (1 page) introducing the package.</w:t>
      </w:r>
    </w:p>
    <w:p>
      <w:pPr>
        <w:pStyle w:val="ListBullet"/>
        <w:spacing w:after="40"/>
      </w:pPr>
      <w:r>
        <w:rPr>
          <w:rFonts w:ascii="Calibri" w:hAnsi="Calibri"/>
          <w:sz w:val="20"/>
        </w:rPr>
        <w:t>Executive summary (max 1 page).</w:t>
      </w:r>
    </w:p>
    <w:p>
      <w:pPr>
        <w:pStyle w:val="ListBullet"/>
        <w:spacing w:after="40"/>
      </w:pPr>
      <w:r>
        <w:rPr>
          <w:rFonts w:ascii="Calibri" w:hAnsi="Calibri"/>
          <w:sz w:val="20"/>
        </w:rPr>
        <w:t>File format PDF (consolidated where possible).</w:t>
      </w:r>
    </w:p>
    <w:p>
      <w:pPr>
        <w:pStyle w:val="ListBullet"/>
        <w:spacing w:after="40"/>
      </w:pPr>
      <w:r>
        <w:rPr>
          <w:rFonts w:ascii="Calibri" w:hAnsi="Calibri"/>
          <w:sz w:val="20"/>
        </w:rPr>
        <w:t>Password protection on sensitive files (PFS, tax returns, KYC).</w:t>
      </w:r>
    </w:p>
    <w:p>
      <w:pPr>
        <w:pStyle w:val="ListBullet"/>
        <w:spacing w:after="40"/>
      </w:pPr>
      <w:r>
        <w:rPr>
          <w:rFonts w:ascii="Calibri" w:hAnsi="Calibri"/>
          <w:sz w:val="20"/>
        </w:rPr>
        <w:t>Transmittal email signed by the principal — not the analyst.</w:t>
      </w:r>
    </w:p>
    <w:p>
      <w:r>
        <w:br w:type="page"/>
      </w:r>
    </w:p>
    <w:p>
      <w:pPr>
        <w:spacing w:before="320" w:after="120"/>
      </w:pPr>
      <w:r>
        <w:rPr>
          <w:rFonts w:ascii="Calibri" w:hAnsi="Calibri"/>
          <w:b/>
          <w:color w:val="B89A5B"/>
          <w:sz w:val="22"/>
        </w:rPr>
        <w:t>13 · SAMPLE LENDER SUBMISSION EMAIL</w:t>
      </w:r>
    </w:p>
    <w:p>
      <w:pPr>
        <w:spacing w:after="80"/>
      </w:pPr>
      <w:r>
        <w:rPr>
          <w:rFonts w:ascii="Calibri" w:hAnsi="Calibri"/>
          <w:i/>
          <w:color w:val="3D4757"/>
          <w:sz w:val="20"/>
        </w:rPr>
        <w:t>Use as a template. Customize the highlights bullet and timeline. The shorter the better — lenders skim.</w:t>
      </w:r>
    </w:p>
    <w:tbl>
      <w:tblPr>
        <w:tblW w:type="auto" w:w="0"/>
        <w:tblLook w:firstColumn="1" w:firstRow="1" w:lastColumn="0" w:lastRow="0" w:noHBand="0" w:noVBand="1" w:val="04A0"/>
      </w:tblPr>
      <w:tblGrid>
        <w:gridCol w:w="9360"/>
      </w:tblGrid>
      <w:tr>
        <w:tc>
          <w:tcPr>
            <w:tcW w:type="dxa" w:w="9360"/>
            <w:shd w:val="clear" w:color="auto" w:fill="FAF6EE"/>
            <w:tcBorders>
              <w:top w:val="single" w:sz="4" w:color="D8D2C4"/>
              <w:bottom w:val="single" w:sz="4" w:color="D8D2C4"/>
              <w:left w:val="single" w:sz="4" w:color="D8D2C4"/>
              <w:right w:val="single" w:sz="4" w:color="D8D2C4"/>
            </w:tcBorders>
          </w:tcPr>
          <w:p>
            <w:pPr>
              <w:spacing w:before="160" w:after="160"/>
            </w:pPr>
            <w:r>
              <w:rPr>
                <w:rFonts w:ascii="Calibri" w:hAnsi="Calibri"/>
                <w:color w:val="16192A"/>
                <w:sz w:val="20"/>
              </w:rPr>
              <w:t>Dear [Lender Name],</w:t>
              <w:br/>
              <w:br/>
              <w:t>Please find attached the Latham Mews lender submission package. The deal is a construction-to-miniperm for 240-unit garden multifamily in Charlotte NC.</w:t>
              <w:br/>
              <w:br/>
              <w:t>Highlights:</w:t>
              <w:br/>
              <w:t xml:space="preserve">  - $60.1M total project cost / $42.07M construction loan request (70% LTC)</w:t>
              <w:br/>
              <w:t xml:space="preserve">  - $42M GMP with experienced GC; all permits in hand; 36-month schedule</w:t>
              <w:br/>
              <w:t xml:space="preserve">  - Sponsor: Latham Capital Partners, 14 prior multifamily deals, $32M net worth / $4.5M liquidity at the key principal level</w:t>
              <w:br/>
              <w:br/>
              <w:t>Data room link: [URL]</w:t>
              <w:br/>
              <w:br/>
              <w:t>We are targeting July 30, 2026 for closing. Please confirm receipt and let us know if anything is missing.</w:t>
              <w:br/>
              <w:br/>
              <w:t>Best,</w:t>
              <w:br/>
              <w:t>Latham Capital Partners</w:t>
              <w:br/>
            </w:r>
          </w:p>
        </w:tc>
      </w:tr>
    </w:tbl>
    <w:p/>
    <w:p>
      <w:r>
        <w:rPr>
          <w:rFonts w:ascii="Calibri" w:hAnsi="Calibri"/>
          <w:i/>
          <w:color w:val="6B7280"/>
          <w:sz w:val="16"/>
        </w:rPr>
        <w:t>Valore Registry · Lender Checklist · v1.0 · 2026-05-21 · Confidential</w:t>
      </w:r>
    </w:p>
    <w:sectPr w:rsidR="00FC693F" w:rsidRPr="0006063C"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