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</w:pPr>
      <w:r>
        <w:rPr>
          <w:rFonts w:ascii="Calibri" w:hAnsi="Calibri"/>
          <w:b/>
          <w:color w:val="B89A5B"/>
          <w:sz w:val="20"/>
        </w:rPr>
        <w:t>Valore Registry</w:t>
      </w:r>
    </w:p>
    <w:p>
      <w:r>
        <w:rPr>
          <w:rFonts w:ascii="Cambria" w:hAnsi="Cambria"/>
          <w:b/>
          <w:color w:val="0B1A33"/>
          <w:sz w:val="48"/>
        </w:rPr>
        <w:t>Property Tax Analysis · Questionnaire &amp; Memo</w:t>
      </w:r>
    </w:p>
    <w:p>
      <w:r>
        <w:rPr>
          <w:rFonts w:ascii="Cambria" w:hAnsi="Cambria"/>
          <w:i/>
          <w:color w:val="3D4757"/>
          <w:sz w:val="22"/>
        </w:rPr>
        <w:t>Use as a phone-call script with the local assessor + tax counsel. Answers go into the XLSX calculator and the UW Workbook pro forma.</w:t>
      </w:r>
    </w:p>
    <w:p>
      <w:pPr>
        <w:spacing w:before="320"/>
      </w:pPr>
      <w:r>
        <w:rPr>
          <w:rFonts w:ascii="Calibri" w:hAnsi="Calibri"/>
          <w:b/>
          <w:color w:val="B89A5B"/>
          <w:sz w:val="22"/>
        </w:rPr>
        <w:t>CORE QUESTIONS FOR THE LOCAL ASSESSOR</w:t>
      </w:r>
    </w:p>
    <w:p>
      <w:pPr>
        <w:pStyle w:val="ListNumber"/>
      </w:pPr>
      <w:r>
        <w:rPr>
          <w:rFonts w:ascii="Calibri" w:hAnsi="Calibri"/>
          <w:sz w:val="20"/>
        </w:rPr>
        <w:t>When do tax bills get sent?</w:t>
      </w:r>
    </w:p>
    <w:p>
      <w:pPr>
        <w:pStyle w:val="ListNumber"/>
      </w:pPr>
      <w:r>
        <w:rPr>
          <w:rFonts w:ascii="Calibri" w:hAnsi="Calibri"/>
          <w:sz w:val="20"/>
        </w:rPr>
        <w:t>When are real estate tax payments due?</w:t>
      </w:r>
    </w:p>
    <w:p>
      <w:pPr>
        <w:pStyle w:val="ListNumber"/>
      </w:pPr>
      <w:r>
        <w:rPr>
          <w:rFonts w:ascii="Calibri" w:hAnsi="Calibri"/>
          <w:sz w:val="20"/>
        </w:rPr>
        <w:t>How often are properties re-assessed?</w:t>
      </w:r>
    </w:p>
    <w:p>
      <w:pPr>
        <w:pStyle w:val="ListNumber"/>
      </w:pPr>
      <w:r>
        <w:rPr>
          <w:rFonts w:ascii="Calibri" w:hAnsi="Calibri"/>
          <w:sz w:val="20"/>
        </w:rPr>
        <w:t>What date are properties assessed as of?</w:t>
      </w:r>
    </w:p>
    <w:p>
      <w:pPr>
        <w:pStyle w:val="ListNumber"/>
      </w:pPr>
      <w:r>
        <w:rPr>
          <w:rFonts w:ascii="Calibri" w:hAnsi="Calibri"/>
          <w:sz w:val="20"/>
        </w:rPr>
        <w:t>How are mid-construction projects valued?</w:t>
      </w:r>
    </w:p>
    <w:p>
      <w:pPr>
        <w:pStyle w:val="ListNumber"/>
      </w:pPr>
      <w:r>
        <w:rPr>
          <w:rFonts w:ascii="Calibri" w:hAnsi="Calibri"/>
          <w:sz w:val="20"/>
        </w:rPr>
        <w:t>Is there a cap on year-over-year increases in property value?</w:t>
      </w:r>
    </w:p>
    <w:p>
      <w:pPr>
        <w:pStyle w:val="ListNumber"/>
      </w:pPr>
      <w:r>
        <w:rPr>
          <w:rFonts w:ascii="Calibri" w:hAnsi="Calibri"/>
          <w:sz w:val="20"/>
        </w:rPr>
        <w:t>Are there any triggers for early re-assessment (sale, renovation, permit)?</w:t>
      </w:r>
    </w:p>
    <w:p>
      <w:pPr>
        <w:pStyle w:val="ListNumber"/>
      </w:pPr>
      <w:r>
        <w:rPr>
          <w:rFonts w:ascii="Calibri" w:hAnsi="Calibri"/>
          <w:sz w:val="20"/>
        </w:rPr>
        <w:t>What is the assessment ratio?</w:t>
      </w:r>
    </w:p>
    <w:p>
      <w:pPr>
        <w:pStyle w:val="ListNumber"/>
      </w:pPr>
      <w:r>
        <w:rPr>
          <w:rFonts w:ascii="Calibri" w:hAnsi="Calibri"/>
          <w:sz w:val="20"/>
        </w:rPr>
        <w:t>Are there prepayment discounts for early tax payment?</w:t>
      </w:r>
    </w:p>
    <w:p>
      <w:pPr>
        <w:pStyle w:val="ListNumber"/>
      </w:pPr>
      <w:r>
        <w:rPr>
          <w:rFonts w:ascii="Calibri" w:hAnsi="Calibri"/>
          <w:sz w:val="20"/>
        </w:rPr>
        <w:t>Are taxes paid in arrears or in advance?</w:t>
      </w:r>
    </w:p>
    <w:p>
      <w:pPr>
        <w:pStyle w:val="ListNumber"/>
      </w:pPr>
      <w:r>
        <w:rPr>
          <w:rFonts w:ascii="Calibri" w:hAnsi="Calibri"/>
          <w:sz w:val="20"/>
        </w:rPr>
        <w:t>What are historical millage / tax rates (5 years)?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PROPERTY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Property name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Texas MF Acquisition Sample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Address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Houston Metro suburb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Parcel ID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[Parcel ID from Harris County HCAD]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City / County / State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Harris County, TX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Asset type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Multifamily (200 units)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Current assessed value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$36,000,000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Current market value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$42,000,000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Current annual taxes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$1,040,000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Tax year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2025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Owner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Seller entity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Acquisition / refi / construction status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Acquisition — sale triggers reassessment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JURISDICTION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Taxing authority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Harris County Appraisal District (HCAD)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Assessment date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January 1 each year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Billing cycle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Annual (Oct 1 notice, Jan 31 deadline)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Payment dates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January 31 (or installment plan by April 30)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Appeals deadline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May 15 or 30 days after appraisal notice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Assessment ratio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100% (TX non-homestead: full market value)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Millage / tax rate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~2.89% effective rate (Harris County)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Reassessment cycle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Annual; sale is a hard trigger in TX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CURRENT TAX STATUS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Most recent tax bill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$1,040,000 for 2025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Payment status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Current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Escrowed?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Yes — monthly escrow with current lender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Any open appeals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None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Recent assessment changes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+8% increase from 2024 to 2025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ASSESSMENT MECHANICS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How the assessor values this property type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Income approach + sales comps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Methodology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HCAD uses income approach for MF; uses market-rent, market cap rate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Recent jurisdiction trends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HCAD reassessing aggressively post-pandemic; +12% MF avg 2024-25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Reassessment triggers in this jurisdiction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Sale is a hard trigger; no assessment cap on non-homestead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REASSESSMENT TRIGGERS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Sale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Yes — triggers market-value reassessment to purchase price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Renovation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Permits trigger mid-year reassessment for new construction value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Permit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Yes — any permit over ~$10k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Period-end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Annual (Jan 1 snapshot)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Specific application to this property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Acquisition at $42M will set assessed value to $42M in Y1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Expected reassessment date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January 1 of year following acquisition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TAX BILL TIMING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When the next bill comes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October 2026 (for Jan 1, 2026 assessment)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Whether the loan funding date affects tax-escrow setup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Close before Jan 1 → Y1 taxes at current rate; close after → reassessed rate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ABATEMENT / PILOT / INCENTIVE REVIEW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Program name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None identified — no abatement or PILOT in place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Start date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End date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Benefit schedule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Base taxes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PILOT payments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Expiration risk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Transferability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Compliance requirements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Clawback risk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Documentation needed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UNDERWRITING TREATMENT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Current taxes (Y1 in pro forma)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$1,040,000 (current assessment, year of acquisition)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Reassessed taxes (Y2+ if applicable)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$1,213,800 (= $42M × 2.89%) — step up in Y1 post-acquisition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Stabilized taxes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$1,213,800 growing at 2% annually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Abated taxes vs unabated market taxes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 — no abatement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NPV of abatement benefit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N/A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Tax escrow assumption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Monthly escrow at reassessed rate from Y1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Stress case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Assessed to $42M immediately → $1.21M/yr (16.7% increase from current)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RISK ASSESSMENT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Low / Moderate / High / Critical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HIGH — TX has no assessment cap on non-homestead MF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Reasoning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Sale triggers immediate reassessment to purchase price. $173k/yr step-up ($14.4k/mo) must be modeled in Y2+ pro forma. Common underwriting miss.</w:t>
            </w:r>
          </w:p>
        </w:tc>
      </w:tr>
    </w:tbl>
    <w:p>
      <w:pPr>
        <w:spacing w:before="280"/>
      </w:pPr>
      <w:r>
        <w:rPr>
          <w:rFonts w:ascii="Calibri" w:hAnsi="Calibri"/>
          <w:b/>
          <w:color w:val="B89A5B"/>
          <w:sz w:val="22"/>
        </w:rPr>
        <w:t>QUESTIONS FOR ASSESSOR / COUNSEL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60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Field</w:t>
            </w:r>
          </w:p>
        </w:tc>
        <w:tc>
          <w:tcPr>
            <w:tcW w:type="dxa" w:w="5760"/>
            <w:shd w:val="clear" w:color="auto" w:fill="0B1A33"/>
          </w:tcPr>
          <w:p>
            <w:r>
              <w:rPr>
                <w:rFonts w:ascii="Calibri" w:hAnsi="Calibri"/>
                <w:b/>
                <w:color w:val="FAF6EE"/>
                <w:sz w:val="18"/>
              </w:rPr>
              <w:t>Answer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Specific phone-call prompts for the local assessor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Confirm: (1) exact reassessment trigger date post-closing; (2) whether 2026 notice is already issued; (3) comparable sales HCAD will use for reassessment</w:t>
            </w:r>
          </w:p>
        </w:tc>
      </w:tr>
      <w:tr>
        <w:tc>
          <w:tcPr>
            <w:tcW w:type="dxa" w:w="3600"/>
          </w:tcPr>
          <w:p>
            <w:r>
              <w:rPr>
                <w:rFonts w:ascii="Calibri" w:hAnsi="Calibri"/>
                <w:color w:val="16192A"/>
                <w:sz w:val="18"/>
              </w:rPr>
              <w:t>Specific questions for the local CRE tax counsel</w:t>
            </w:r>
          </w:p>
        </w:tc>
        <w:tc>
          <w:tcPr>
            <w:tcW w:type="dxa" w:w="5760"/>
            <w:shd w:val="clear" w:color="auto" w:fill="DDEBF7"/>
          </w:tcPr>
          <w:p>
            <w:r>
              <w:rPr>
                <w:rFonts w:ascii="Calibri" w:hAnsi="Calibri"/>
                <w:color w:val="16192A"/>
                <w:sz w:val="18"/>
              </w:rPr>
              <w:t>Advise on: (1) viability of appeal post-acquisition; (2) timing of protest deadline vs closing date; (3) any Texas homestead / non-homestead nuances for MF</w:t>
            </w:r>
          </w:p>
        </w:tc>
      </w:tr>
    </w:tbl>
    <w:p/>
    <w:p>
      <w:r>
        <w:rPr>
          <w:rFonts w:ascii="Calibri" w:hAnsi="Calibri"/>
          <w:i/>
          <w:color w:val="6B7280"/>
          <w:sz w:val="16"/>
        </w:rPr>
        <w:t>Valore Registry · Tax Analysis · v1.0 · Confidential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