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120"/>
      </w:pPr>
      <w:r>
        <w:rPr>
          <w:rFonts w:ascii="Calibri" w:hAnsi="Calibri"/>
          <w:b/>
          <w:color w:val="B89A5B"/>
          <w:sz w:val="20"/>
        </w:rPr>
        <w:t>Valore Registry</w:t>
      </w:r>
    </w:p>
    <w:p>
      <w:pPr>
        <w:spacing w:after="240"/>
      </w:pPr>
      <w:r>
        <w:rPr>
          <w:rFonts w:ascii="Cambria" w:hAnsi="Cambria"/>
          <w:b/>
          <w:color w:val="0B1A33"/>
          <w:sz w:val="56"/>
        </w:rPr>
        <w:t>Term Sheet Reader</w:t>
      </w:r>
    </w:p>
    <w:p>
      <w:pPr>
        <w:spacing w:after="360"/>
      </w:pPr>
      <w:r>
        <w:rPr>
          <w:rFonts w:ascii="Cambria" w:hAnsi="Cambria"/>
          <w:i/>
          <w:color w:val="3D4757"/>
          <w:sz w:val="22"/>
        </w:rPr>
        <w:t>Business-side review of a single lender term sheet. Sections identify economic, structural, and execution issues — before counsel review.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3D4757"/>
                <w:sz w:val="20"/>
              </w:rPr>
              <w:t>Deal name</w:t>
            </w:r>
          </w:p>
        </w:tc>
        <w:tc>
          <w:tcPr>
            <w:tcW w:type="dxa" w:w="676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16192A"/>
                <w:sz w:val="20"/>
              </w:rPr>
              <w:t>Latham Mews</w:t>
            </w:r>
          </w:p>
        </w:tc>
      </w:tr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3D4757"/>
                <w:sz w:val="20"/>
              </w:rPr>
              <w:t>Property</w:t>
            </w:r>
          </w:p>
        </w:tc>
        <w:tc>
          <w:tcPr>
            <w:tcW w:type="dxa" w:w="676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16192A"/>
                <w:sz w:val="20"/>
              </w:rPr>
              <w:t>12200 Carolina Pines Dr, Charlotte NC 28269</w:t>
            </w:r>
          </w:p>
        </w:tc>
      </w:tr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3D4757"/>
                <w:sz w:val="20"/>
              </w:rPr>
              <w:t>Borrower</w:t>
            </w:r>
          </w:p>
        </w:tc>
        <w:tc>
          <w:tcPr>
            <w:tcW w:type="dxa" w:w="676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16192A"/>
                <w:sz w:val="20"/>
              </w:rPr>
              <w:t>Latham Mews LLC (a Delaware LLC)</w:t>
            </w:r>
          </w:p>
        </w:tc>
      </w:tr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3D4757"/>
                <w:sz w:val="20"/>
              </w:rPr>
              <w:t>Sponsor</w:t>
            </w:r>
          </w:p>
        </w:tc>
        <w:tc>
          <w:tcPr>
            <w:tcW w:type="dxa" w:w="676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16192A"/>
                <w:sz w:val="20"/>
              </w:rPr>
              <w:t>Latham Capital Partners</w:t>
            </w:r>
          </w:p>
        </w:tc>
      </w:tr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3D4757"/>
                <w:sz w:val="20"/>
              </w:rPr>
              <w:t>Lender</w:t>
            </w:r>
          </w:p>
        </w:tc>
        <w:tc>
          <w:tcPr>
            <w:tcW w:type="dxa" w:w="676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16192A"/>
                <w:sz w:val="20"/>
              </w:rPr>
              <w:t>Bank A (Regional)</w:t>
            </w:r>
          </w:p>
        </w:tc>
      </w:tr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3D4757"/>
                <w:sz w:val="20"/>
              </w:rPr>
              <w:t>Term sheet date</w:t>
            </w:r>
          </w:p>
        </w:tc>
        <w:tc>
          <w:tcPr>
            <w:tcW w:type="dxa" w:w="676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16192A"/>
                <w:sz w:val="20"/>
              </w:rPr>
              <w:t>2026-05-12</w:t>
            </w:r>
          </w:p>
        </w:tc>
      </w:tr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3D4757"/>
                <w:sz w:val="20"/>
              </w:rPr>
              <w:t>Reviewer</w:t>
            </w:r>
          </w:p>
        </w:tc>
        <w:tc>
          <w:tcPr>
            <w:tcW w:type="dxa" w:w="676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16192A"/>
                <w:sz w:val="20"/>
              </w:rPr>
              <w:t>Latham Capital Analyst Team</w:t>
            </w:r>
          </w:p>
        </w:tc>
      </w:tr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3D4757"/>
                <w:sz w:val="20"/>
              </w:rPr>
              <w:t>Status</w:t>
            </w:r>
          </w:p>
        </w:tc>
        <w:tc>
          <w:tcPr>
            <w:tcW w:type="dxa" w:w="676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16192A"/>
                <w:sz w:val="20"/>
              </w:rPr>
              <w:t>Initial review</w:t>
            </w:r>
          </w:p>
        </w:tc>
      </w:tr>
    </w:tbl>
    <w:p/>
    <w:p>
      <w:r>
        <w:rPr>
          <w:rFonts w:ascii="Calibri" w:hAnsi="Calibri"/>
          <w:color w:val="6B7280"/>
          <w:sz w:val="18"/>
        </w:rPr>
        <w:t>Version 1.0 · 2026-05-21</w:t>
      </w:r>
    </w:p>
    <w:p>
      <w:r>
        <w:br w:type="page"/>
      </w:r>
    </w:p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2 · HOW TO USE THIS READER</w:t>
      </w:r>
    </w:p>
    <w:p>
      <w:pPr>
        <w:spacing w:before="0" w:after="120"/>
        <w:pBdr>
          <w:bottom w:val="single" w:sz="6" w:color="D8D2C4"/>
        </w:pBdr>
      </w:pPr>
    </w:p>
    <w:p>
      <w:pPr>
        <w:pStyle w:val="ListBullet"/>
        <w:spacing w:after="40"/>
      </w:pPr>
      <w:r>
        <w:rPr>
          <w:rFonts w:ascii="Calibri" w:hAnsi="Calibri"/>
          <w:sz w:val="20"/>
        </w:rPr>
        <w:t>Read the term sheet once without marking it up.</w:t>
      </w:r>
    </w:p>
    <w:p>
      <w:pPr>
        <w:pStyle w:val="ListBullet"/>
        <w:spacing w:after="40"/>
      </w:pPr>
      <w:r>
        <w:rPr>
          <w:rFonts w:ascii="Calibri" w:hAnsi="Calibri"/>
          <w:sz w:val="20"/>
        </w:rPr>
        <w:t>Walk through this reader section by section. Transcribe key terms into the Term sheet states column.</w:t>
      </w:r>
    </w:p>
    <w:p>
      <w:pPr>
        <w:pStyle w:val="ListBullet"/>
        <w:spacing w:after="40"/>
      </w:pPr>
      <w:r>
        <w:rPr>
          <w:rFonts w:ascii="Calibri" w:hAnsi="Calibri"/>
          <w:sz w:val="20"/>
        </w:rPr>
        <w:t>Flag concerns or unclear items in the Notes / concern column.</w:t>
      </w:r>
    </w:p>
    <w:p>
      <w:pPr>
        <w:pStyle w:val="ListBullet"/>
        <w:spacing w:after="40"/>
      </w:pPr>
      <w:r>
        <w:rPr>
          <w:rFonts w:ascii="Calibri" w:hAnsi="Calibri"/>
          <w:sz w:val="20"/>
        </w:rPr>
        <w:t>Tag each item B (business — broker / sponsor handles) or L (legal — counsel handles).</w:t>
      </w:r>
    </w:p>
    <w:p>
      <w:pPr>
        <w:pStyle w:val="ListBullet"/>
        <w:spacing w:after="40"/>
      </w:pPr>
      <w:r>
        <w:rPr>
          <w:rFonts w:ascii="Calibri" w:hAnsi="Calibri"/>
          <w:sz w:val="20"/>
        </w:rPr>
        <w:t>Compare the populated reader against competing term sheets in the XLSX comparison matrix.</w:t>
      </w:r>
    </w:p>
    <w:p>
      <w:pPr>
        <w:pStyle w:val="ListBullet"/>
        <w:spacing w:after="40"/>
      </w:pPr>
      <w:r>
        <w:rPr>
          <w:rFonts w:ascii="Calibri" w:hAnsi="Calibri"/>
          <w:sz w:val="20"/>
        </w:rPr>
        <w:t>Send L items to counsel; route B items to broker / lender.</w:t>
      </w:r>
    </w:p>
    <w:p>
      <w:pPr>
        <w:pStyle w:val="ListBullet"/>
        <w:spacing w:after="40"/>
      </w:pPr>
      <w:r>
        <w:rPr>
          <w:rFonts w:ascii="Calibri" w:hAnsi="Calibri"/>
          <w:sz w:val="20"/>
        </w:rPr>
        <w:t>Use the Negotiation Points section to track the borrower's asks and lender responses.</w:t>
      </w:r>
    </w:p>
    <w:p>
      <w:pPr>
        <w:spacing w:after="80"/>
      </w:pPr>
      <w:r>
        <w:rPr>
          <w:rFonts w:ascii="Calibri" w:hAnsi="Calibri"/>
          <w:i/>
          <w:color w:val="3D4757"/>
          <w:sz w:val="20"/>
        </w:rPr>
        <w:t>Disclaimer: this is not legal advice. The reader identifies economic, structural, and execution issues; counsel must review legal terms before signing.</w:t>
      </w:r>
    </w:p>
    <w:p>
      <w:r>
        <w:br w:type="page"/>
      </w:r>
    </w:p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3 · EXECUTIVE SUMMARY</w:t>
      </w:r>
    </w:p>
    <w:p>
      <w:pPr>
        <w:spacing w:before="0" w:after="120"/>
        <w:pBdr>
          <w:bottom w:val="single" w:sz="6" w:color="D8D2C4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880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Item</w:t>
            </w:r>
          </w:p>
        </w:tc>
        <w:tc>
          <w:tcPr>
            <w:tcW w:type="dxa" w:w="3744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Term sheet states</w:t>
            </w:r>
          </w:p>
        </w:tc>
        <w:tc>
          <w:tcPr>
            <w:tcW w:type="dxa" w:w="2736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Notes / concern</w:t>
            </w:r>
          </w:p>
        </w:tc>
        <w:tc>
          <w:tcPr>
            <w:tcW w:type="dxa" w:w="648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B/L</w:t>
            </w:r>
          </w:p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Proposed lender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Regional bank · balance sheet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Loan amount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$42,070,000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Loan type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Term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36mo construction + 24mo miniperm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Rate / spread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SOFR + 275 bps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Fees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1.00%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Amortization / IO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30-year post-stab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Collateral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Recourse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Full recourse · burns to 50% at stabilization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Major conditions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Major risks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Recommendation: accept / negotiate / reject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Best total cost, slowest close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4 · ECONOMICS REVIEW</w:t>
      </w:r>
    </w:p>
    <w:p>
      <w:pPr>
        <w:spacing w:before="0" w:after="120"/>
        <w:pBdr>
          <w:bottom w:val="single" w:sz="6" w:color="D8D2C4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880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Item</w:t>
            </w:r>
          </w:p>
        </w:tc>
        <w:tc>
          <w:tcPr>
            <w:tcW w:type="dxa" w:w="3744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Term sheet states</w:t>
            </w:r>
          </w:p>
        </w:tc>
        <w:tc>
          <w:tcPr>
            <w:tcW w:type="dxa" w:w="2736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Notes / concern</w:t>
            </w:r>
          </w:p>
        </w:tc>
        <w:tc>
          <w:tcPr>
            <w:tcW w:type="dxa" w:w="648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B/L</w:t>
            </w:r>
          </w:p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Loan amount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$42,070,000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Advance rate (LTC / LTV)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Interest rate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SOFR + 275 bps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Floating or fixed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Index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Spread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275 bps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Floor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7.50% all-in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Default rate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5% over rate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Origination fee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1.00%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Exit fee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0.50%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Extension fee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Two 12-month at 50 bps each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Unused fee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Minimum interest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Dutch interest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Prepayment penalty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Open after Year 1 with declining fee 3/2/1/0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Required reserves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Required, $4.8M sized to 36mo @ 45% avg outstanding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Lender legal fees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Third-party costs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Servicing fees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r>
        <w:br w:type="page"/>
      </w:r>
    </w:p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5 · COLLATERAL / LOAN STRUCTURE</w:t>
      </w:r>
    </w:p>
    <w:p>
      <w:pPr>
        <w:spacing w:before="0" w:after="120"/>
        <w:pBdr>
          <w:bottom w:val="single" w:sz="6" w:color="D8D2C4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880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Item</w:t>
            </w:r>
          </w:p>
        </w:tc>
        <w:tc>
          <w:tcPr>
            <w:tcW w:type="dxa" w:w="3744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Term sheet states</w:t>
            </w:r>
          </w:p>
        </w:tc>
        <w:tc>
          <w:tcPr>
            <w:tcW w:type="dxa" w:w="2736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Notes / concern</w:t>
            </w:r>
          </w:p>
        </w:tc>
        <w:tc>
          <w:tcPr>
            <w:tcW w:type="dxa" w:w="648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B/L</w:t>
            </w:r>
          </w:p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Borrower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Guarantor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Collateral property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Cross-collateralization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Cross-default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Mezzanine / pref intercreditor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PACE interaction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Ground lease issues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UCC collateral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Assignment of leases and rents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6 · RECOURSE AND GUARANTY</w:t>
      </w:r>
    </w:p>
    <w:p>
      <w:pPr>
        <w:spacing w:before="0" w:after="120"/>
        <w:pBdr>
          <w:bottom w:val="single" w:sz="6" w:color="D8D2C4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880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Item</w:t>
            </w:r>
          </w:p>
        </w:tc>
        <w:tc>
          <w:tcPr>
            <w:tcW w:type="dxa" w:w="3744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Term sheet states</w:t>
            </w:r>
          </w:p>
        </w:tc>
        <w:tc>
          <w:tcPr>
            <w:tcW w:type="dxa" w:w="2736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Notes / concern</w:t>
            </w:r>
          </w:p>
        </w:tc>
        <w:tc>
          <w:tcPr>
            <w:tcW w:type="dxa" w:w="648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B/L</w:t>
            </w:r>
          </w:p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Non-recourse vs full recourse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Full recourse · burns to 50% at stabilization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Bad-boy carveouts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Standard non-recourse carveouts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Completion guaranty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Required from key principals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Carry guaranty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Through stabilization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Payment guaranty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Full during construction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Environmental indemnity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Standard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Minimum net worth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$25M (key principal)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Minimum liquidity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$5M (key principal)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Burnoff provisions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Springing recourse triggers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r>
        <w:br w:type="page"/>
      </w:r>
    </w:p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7 · RESERVES AND ESCROWS</w:t>
      </w:r>
    </w:p>
    <w:p>
      <w:pPr>
        <w:spacing w:before="0" w:after="120"/>
        <w:pBdr>
          <w:bottom w:val="single" w:sz="6" w:color="D8D2C4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880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Item</w:t>
            </w:r>
          </w:p>
        </w:tc>
        <w:tc>
          <w:tcPr>
            <w:tcW w:type="dxa" w:w="3744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Term sheet states</w:t>
            </w:r>
          </w:p>
        </w:tc>
        <w:tc>
          <w:tcPr>
            <w:tcW w:type="dxa" w:w="2736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Notes / concern</w:t>
            </w:r>
          </w:p>
        </w:tc>
        <w:tc>
          <w:tcPr>
            <w:tcW w:type="dxa" w:w="648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B/L</w:t>
            </w:r>
          </w:p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Interest reserve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Required, $4.8M sized to 36mo @ 45% avg outstanding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Tax reserve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Monthly escrow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Insurance reserve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Monthly escrow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Capex reserve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Leasing reserve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TI / LC reserve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Operating reserve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Debt service reserve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Completion reserve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$2.1M (5% of hard)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Rebalancing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8 · CONDITIONS PRECEDENT</w:t>
      </w:r>
    </w:p>
    <w:p>
      <w:pPr>
        <w:spacing w:before="0" w:after="120"/>
        <w:pBdr>
          <w:bottom w:val="single" w:sz="6" w:color="D8D2C4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880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Item</w:t>
            </w:r>
          </w:p>
        </w:tc>
        <w:tc>
          <w:tcPr>
            <w:tcW w:type="dxa" w:w="3744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Term sheet states</w:t>
            </w:r>
          </w:p>
        </w:tc>
        <w:tc>
          <w:tcPr>
            <w:tcW w:type="dxa" w:w="2736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Notes / concern</w:t>
            </w:r>
          </w:p>
        </w:tc>
        <w:tc>
          <w:tcPr>
            <w:tcW w:type="dxa" w:w="648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B/L</w:t>
            </w:r>
          </w:p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Appraisal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Lender-ordered, sponsor pays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Environmental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Phase I required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Property condition rpt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PCA at stabilization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Zoning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Title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ALTA extended + As-Built survey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Survey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ALTA extended + As-Built survey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Insurance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Organizational documents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SNDA / estoppels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Permits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Budget approval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GC contract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GMP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Equity funding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Required presales / leases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N/A (construction)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r>
        <w:br w:type="page"/>
      </w:r>
    </w:p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9 · REPORTING AND COVENANTS</w:t>
      </w:r>
    </w:p>
    <w:p>
      <w:pPr>
        <w:spacing w:before="0" w:after="120"/>
        <w:pBdr>
          <w:bottom w:val="single" w:sz="6" w:color="D8D2C4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880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Item</w:t>
            </w:r>
          </w:p>
        </w:tc>
        <w:tc>
          <w:tcPr>
            <w:tcW w:type="dxa" w:w="3744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Term sheet states</w:t>
            </w:r>
          </w:p>
        </w:tc>
        <w:tc>
          <w:tcPr>
            <w:tcW w:type="dxa" w:w="2736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Notes / concern</w:t>
            </w:r>
          </w:p>
        </w:tc>
        <w:tc>
          <w:tcPr>
            <w:tcW w:type="dxa" w:w="648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B/L</w:t>
            </w:r>
          </w:p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Monthly reporting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Required during construction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Quarterly reporting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Required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Annual financials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Audited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Rent roll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Leasing reports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Construction reports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Budget variance reports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DSCR covenant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1.25x at stabilization (tested quarterly Y2+)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DY covenant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8.5% at stabilization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LTV test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70% at takeout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Minimum liquidity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$5M (key principal)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Minimum net worth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$25M (key principal)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Borrowing base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Rebalancing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10 · CASH MANAGEMENT</w:t>
      </w:r>
    </w:p>
    <w:p>
      <w:pPr>
        <w:spacing w:before="0" w:after="120"/>
        <w:pBdr>
          <w:bottom w:val="single" w:sz="6" w:color="D8D2C4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880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Item</w:t>
            </w:r>
          </w:p>
        </w:tc>
        <w:tc>
          <w:tcPr>
            <w:tcW w:type="dxa" w:w="3744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Term sheet states</w:t>
            </w:r>
          </w:p>
        </w:tc>
        <w:tc>
          <w:tcPr>
            <w:tcW w:type="dxa" w:w="2736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Notes / concern</w:t>
            </w:r>
          </w:p>
        </w:tc>
        <w:tc>
          <w:tcPr>
            <w:tcW w:type="dxa" w:w="648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B/L</w:t>
            </w:r>
          </w:p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Springing lockbox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Springing on covenant breach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Hard lockbox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Cash sweep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On DSCR &lt; 1.10x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Excess cash flow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Trigger events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Release conditions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r>
        <w:br w:type="page"/>
      </w:r>
    </w:p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11 · TRANSFERS / ASSUMPTIONS / PREPAYMENT</w:t>
      </w:r>
    </w:p>
    <w:p>
      <w:pPr>
        <w:spacing w:before="0" w:after="120"/>
        <w:pBdr>
          <w:bottom w:val="single" w:sz="6" w:color="D8D2C4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880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Item</w:t>
            </w:r>
          </w:p>
        </w:tc>
        <w:tc>
          <w:tcPr>
            <w:tcW w:type="dxa" w:w="3744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Term sheet states</w:t>
            </w:r>
          </w:p>
        </w:tc>
        <w:tc>
          <w:tcPr>
            <w:tcW w:type="dxa" w:w="2736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Notes / concern</w:t>
            </w:r>
          </w:p>
        </w:tc>
        <w:tc>
          <w:tcPr>
            <w:tcW w:type="dxa" w:w="648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B/L</w:t>
            </w:r>
          </w:p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Permitted transfers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Estate-planning + tax-driven, no third-party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Change of control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Assumption rights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1.0% fee, lender consent required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Partial releases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Subordinate financing restrictions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Sale restrictions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Prepayment restrictions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Open after Year 1 with declining fee 3/2/1/0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12 · CONSTRUCTION / RENOVATION PROVISIONS</w:t>
      </w:r>
    </w:p>
    <w:p>
      <w:pPr>
        <w:spacing w:before="0" w:after="120"/>
        <w:pBdr>
          <w:bottom w:val="single" w:sz="6" w:color="D8D2C4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880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Item</w:t>
            </w:r>
          </w:p>
        </w:tc>
        <w:tc>
          <w:tcPr>
            <w:tcW w:type="dxa" w:w="3744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Term sheet states</w:t>
            </w:r>
          </w:p>
        </w:tc>
        <w:tc>
          <w:tcPr>
            <w:tcW w:type="dxa" w:w="2736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Notes / concern</w:t>
            </w:r>
          </w:p>
        </w:tc>
        <w:tc>
          <w:tcPr>
            <w:tcW w:type="dxa" w:w="648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B/L</w:t>
            </w:r>
          </w:p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Draw process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Monthly, AIA G702/G703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Retainage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10% until 50% complete, then 5%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Inspector requirements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Budget line-item transfers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Cost overrun funding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Sponsor equity required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Completion deadline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36 months from closing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Milestones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Extension rights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Two 12-month at 50 bps each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Contingency use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Change order approval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r>
        <w:br w:type="page"/>
      </w:r>
    </w:p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13 · DEFAULT AND REMEDIES</w:t>
      </w:r>
    </w:p>
    <w:p>
      <w:pPr>
        <w:spacing w:before="0" w:after="120"/>
        <w:pBdr>
          <w:bottom w:val="single" w:sz="6" w:color="D8D2C4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880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Item</w:t>
            </w:r>
          </w:p>
        </w:tc>
        <w:tc>
          <w:tcPr>
            <w:tcW w:type="dxa" w:w="3744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Term sheet states</w:t>
            </w:r>
          </w:p>
        </w:tc>
        <w:tc>
          <w:tcPr>
            <w:tcW w:type="dxa" w:w="2736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Notes / concern</w:t>
            </w:r>
          </w:p>
        </w:tc>
        <w:tc>
          <w:tcPr>
            <w:tcW w:type="dxa" w:w="648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B/L</w:t>
            </w:r>
          </w:p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Monetary default cure periods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Non-monetary default cure periods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Notice requirements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Default interest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5% over rate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Late charges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Lender remedies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Foreclosure rights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Cash sweep rights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On DSCR &lt; 1.10x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Replacement guarantor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Bankruptcy triggers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14 · HIDDEN ECONOMICS</w:t>
      </w:r>
    </w:p>
    <w:p>
      <w:pPr>
        <w:spacing w:before="0" w:after="120"/>
        <w:pBdr>
          <w:bottom w:val="single" w:sz="6" w:color="D8D2C4"/>
        </w:pBdr>
      </w:pPr>
    </w:p>
    <w:p>
      <w:pPr>
        <w:spacing w:after="80"/>
      </w:pPr>
      <w:r>
        <w:rPr>
          <w:rFonts w:ascii="Calibri" w:hAnsi="Calibri"/>
          <w:i/>
          <w:color w:val="3D4757"/>
          <w:sz w:val="20"/>
        </w:rPr>
        <w:t>Capture the economic items that don't appear in the headline rate. These can move the all-in cost 50-150 bps.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880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Item</w:t>
            </w:r>
          </w:p>
        </w:tc>
        <w:tc>
          <w:tcPr>
            <w:tcW w:type="dxa" w:w="3744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Term sheet states</w:t>
            </w:r>
          </w:p>
        </w:tc>
        <w:tc>
          <w:tcPr>
            <w:tcW w:type="dxa" w:w="2736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Notes / concern</w:t>
            </w:r>
          </w:p>
        </w:tc>
        <w:tc>
          <w:tcPr>
            <w:tcW w:type="dxa" w:w="648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AF6EE"/>
                <w:sz w:val="18"/>
              </w:rPr>
              <w:t>B/L</w:t>
            </w:r>
          </w:p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Minimum interest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Exit fees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0.50%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Extension fees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Two 12-month at 50 bps each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Unused fees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Legal fees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Servicing fees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Appraisal review fees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Inspection fees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Cash sweep mechanics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On DSCR &lt; 1.10x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Required reserves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Required, $4.8M sized to 36mo @ 45% avg outstanding</w:t>
            </w: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Mandatory rate cap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Hedging costs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880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  <w:r>
              <w:rPr>
                <w:rFonts w:ascii="Calibri" w:hAnsi="Calibri"/>
                <w:color w:val="16192A"/>
                <w:sz w:val="18"/>
              </w:rPr>
              <w:t>Rebalancing</w:t>
            </w:r>
          </w:p>
        </w:tc>
        <w:tc>
          <w:tcPr>
            <w:tcW w:type="dxa" w:w="374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 w:after="40"/>
            </w:pPr>
          </w:p>
        </w:tc>
        <w:tc>
          <w:tcPr>
            <w:tcW w:type="dxa" w:w="273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6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r>
        <w:br w:type="page"/>
      </w:r>
    </w:p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15 · RED FLAG CHECKLIST</w:t>
      </w:r>
    </w:p>
    <w:p>
      <w:pPr>
        <w:spacing w:before="0" w:after="120"/>
        <w:pBdr>
          <w:bottom w:val="single" w:sz="6" w:color="D8D2C4"/>
        </w:pBdr>
      </w:pPr>
    </w:p>
    <w:p>
      <w:pPr>
        <w:spacing w:after="80"/>
      </w:pPr>
      <w:r>
        <w:rPr>
          <w:rFonts w:ascii="Calibri" w:hAnsi="Calibri"/>
          <w:i/>
          <w:color w:val="3D4757"/>
          <w:sz w:val="20"/>
        </w:rPr>
        <w:t>Mark each category with the specific concerns surfaced in this term sheet. Red flag = revisit before signing.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2592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FAF6EE"/>
                <w:sz w:val="18"/>
              </w:rPr>
              <w:t>Category</w:t>
            </w:r>
          </w:p>
        </w:tc>
        <w:tc>
          <w:tcPr>
            <w:tcW w:type="dxa" w:w="6048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FAF6EE"/>
                <w:sz w:val="18"/>
              </w:rPr>
              <w:t>Concerns identified</w:t>
            </w:r>
          </w:p>
        </w:tc>
        <w:tc>
          <w:tcPr>
            <w:tcW w:type="dxa" w:w="1296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FAF6EE"/>
                <w:sz w:val="18"/>
              </w:rPr>
              <w:t>Severity (H/M/L)</w:t>
            </w:r>
          </w:p>
        </w:tc>
      </w:tr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Economics</w:t>
            </w:r>
          </w:p>
        </w:tc>
        <w:tc>
          <w:tcPr>
            <w:tcW w:type="dxa" w:w="60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129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Structure</w:t>
            </w:r>
          </w:p>
        </w:tc>
        <w:tc>
          <w:tcPr>
            <w:tcW w:type="dxa" w:w="60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129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Timing</w:t>
            </w:r>
          </w:p>
        </w:tc>
        <w:tc>
          <w:tcPr>
            <w:tcW w:type="dxa" w:w="60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129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Recourse</w:t>
            </w:r>
          </w:p>
        </w:tc>
        <w:tc>
          <w:tcPr>
            <w:tcW w:type="dxa" w:w="60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129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Control rights</w:t>
            </w:r>
          </w:p>
        </w:tc>
        <w:tc>
          <w:tcPr>
            <w:tcW w:type="dxa" w:w="60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129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Construction</w:t>
            </w:r>
          </w:p>
        </w:tc>
        <w:tc>
          <w:tcPr>
            <w:tcW w:type="dxa" w:w="60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129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Exit limitations</w:t>
            </w:r>
          </w:p>
        </w:tc>
        <w:tc>
          <w:tcPr>
            <w:tcW w:type="dxa" w:w="60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129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Ambiguous language</w:t>
            </w:r>
          </w:p>
        </w:tc>
        <w:tc>
          <w:tcPr>
            <w:tcW w:type="dxa" w:w="60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129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  <w:tr>
        <w:tc>
          <w:tcPr>
            <w:tcW w:type="dxa" w:w="2592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Missing terms</w:t>
            </w:r>
          </w:p>
        </w:tc>
        <w:tc>
          <w:tcPr>
            <w:tcW w:type="dxa" w:w="604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  <w:tc>
          <w:tcPr>
            <w:tcW w:type="dxa" w:w="1296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/>
        </w:tc>
      </w:tr>
    </w:tbl>
    <w:p>
      <w:r>
        <w:br w:type="page"/>
      </w:r>
    </w:p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16 · NEGOTIATION POINTS</w:t>
      </w:r>
    </w:p>
    <w:p>
      <w:pPr>
        <w:spacing w:before="0" w:after="120"/>
        <w:pBdr>
          <w:bottom w:val="single" w:sz="6" w:color="D8D2C4"/>
        </w:pBdr>
      </w:pPr>
    </w:p>
    <w:p>
      <w:pPr>
        <w:spacing w:after="80"/>
      </w:pPr>
      <w:r>
        <w:rPr>
          <w:rFonts w:ascii="Calibri" w:hAnsi="Calibri"/>
          <w:i/>
          <w:color w:val="3D4757"/>
          <w:sz w:val="20"/>
        </w:rPr>
        <w:t>Track the borrower's asks. Move items to the XLSX Negotiation Tracker once the redline cycle begins.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2160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FAF6EE"/>
                <w:sz w:val="18"/>
              </w:rPr>
              <w:t>Issue</w:t>
            </w:r>
          </w:p>
        </w:tc>
        <w:tc>
          <w:tcPr>
            <w:tcW w:type="dxa" w:w="2160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FAF6EE"/>
                <w:sz w:val="18"/>
              </w:rPr>
              <w:t>Why it matters</w:t>
            </w:r>
          </w:p>
        </w:tc>
        <w:tc>
          <w:tcPr>
            <w:tcW w:type="dxa" w:w="1728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FAF6EE"/>
                <w:sz w:val="18"/>
              </w:rPr>
              <w:t>Borrower ask</w:t>
            </w:r>
          </w:p>
        </w:tc>
        <w:tc>
          <w:tcPr>
            <w:tcW w:type="dxa" w:w="1728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FAF6EE"/>
                <w:sz w:val="18"/>
              </w:rPr>
              <w:t>Fallback</w:t>
            </w:r>
          </w:p>
        </w:tc>
        <w:tc>
          <w:tcPr>
            <w:tcW w:type="dxa" w:w="720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FAF6EE"/>
                <w:sz w:val="18"/>
              </w:rPr>
              <w:t>Priority</w:t>
            </w:r>
          </w:p>
        </w:tc>
        <w:tc>
          <w:tcPr>
            <w:tcW w:type="dxa" w:w="864"/>
            <w:shd w:val="clear" w:color="auto" w:fill="0B1A33"/>
            <w:tcBorders>
              <w:top w:val="single" w:sz="6" w:color="D8D2C4"/>
              <w:bottom w:val="single" w:sz="6" w:color="D8D2C4"/>
              <w:left w:val="single" w:sz="6" w:color="D8D2C4"/>
              <w:right w:val="single" w:sz="6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b/>
                <w:color w:val="FAF6EE"/>
                <w:sz w:val="18"/>
              </w:rPr>
              <w:t>Status</w:t>
            </w:r>
          </w:p>
        </w:tc>
      </w:tr>
      <w:tr>
        <w:tc>
          <w:tcPr>
            <w:tcW w:type="dxa" w:w="216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Recourse burnoff</w:t>
            </w:r>
          </w:p>
        </w:tc>
        <w:tc>
          <w:tcPr>
            <w:tcW w:type="dxa" w:w="216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Sponsor wants full burnoff at stab; lender offers 50%</w:t>
            </w:r>
          </w:p>
        </w:tc>
        <w:tc>
          <w:tcPr>
            <w:tcW w:type="dxa" w:w="172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Full burnoff at DSCR 1.30x + 12 months</w:t>
            </w:r>
          </w:p>
        </w:tc>
        <w:tc>
          <w:tcPr>
            <w:tcW w:type="dxa" w:w="172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75% burnoff at stab</w:t>
            </w:r>
          </w:p>
        </w:tc>
        <w:tc>
          <w:tcPr>
            <w:tcW w:type="dxa" w:w="72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H</w:t>
            </w:r>
          </w:p>
        </w:tc>
        <w:tc>
          <w:tcPr>
            <w:tcW w:type="dxa" w:w="86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Open</w:t>
            </w:r>
          </w:p>
        </w:tc>
      </w:tr>
      <w:tr>
        <w:tc>
          <w:tcPr>
            <w:tcW w:type="dxa" w:w="216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Origination fee</w:t>
            </w:r>
          </w:p>
        </w:tc>
        <w:tc>
          <w:tcPr>
            <w:tcW w:type="dxa" w:w="216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Total fees 1.00% + 0.50% exit = 1.50% effective</w:t>
            </w:r>
          </w:p>
        </w:tc>
        <w:tc>
          <w:tcPr>
            <w:tcW w:type="dxa" w:w="172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Reduce orig to 0.75% or waive exit fee</w:t>
            </w:r>
          </w:p>
        </w:tc>
        <w:tc>
          <w:tcPr>
            <w:tcW w:type="dxa" w:w="172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0.85% orig</w:t>
            </w:r>
          </w:p>
        </w:tc>
        <w:tc>
          <w:tcPr>
            <w:tcW w:type="dxa" w:w="72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M</w:t>
            </w:r>
          </w:p>
        </w:tc>
        <w:tc>
          <w:tcPr>
            <w:tcW w:type="dxa" w:w="86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Open</w:t>
            </w:r>
          </w:p>
        </w:tc>
      </w:tr>
      <w:tr>
        <w:tc>
          <w:tcPr>
            <w:tcW w:type="dxa" w:w="216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Cash sweep trigger</w:t>
            </w:r>
          </w:p>
        </w:tc>
        <w:tc>
          <w:tcPr>
            <w:tcW w:type="dxa" w:w="216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DSCR &lt; 1.10x sweep is tight on miniperm</w:t>
            </w:r>
          </w:p>
        </w:tc>
        <w:tc>
          <w:tcPr>
            <w:tcW w:type="dxa" w:w="172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DSCR &lt; 1.05x or 6-month rolling test</w:t>
            </w:r>
          </w:p>
        </w:tc>
        <w:tc>
          <w:tcPr>
            <w:tcW w:type="dxa" w:w="172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Drop to 1.05x</w:t>
            </w:r>
          </w:p>
        </w:tc>
        <w:tc>
          <w:tcPr>
            <w:tcW w:type="dxa" w:w="72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M</w:t>
            </w:r>
          </w:p>
        </w:tc>
        <w:tc>
          <w:tcPr>
            <w:tcW w:type="dxa" w:w="86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Open</w:t>
            </w:r>
          </w:p>
        </w:tc>
      </w:tr>
      <w:tr>
        <w:tc>
          <w:tcPr>
            <w:tcW w:type="dxa" w:w="216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Permitted transfers</w:t>
            </w:r>
          </w:p>
        </w:tc>
        <w:tc>
          <w:tcPr>
            <w:tcW w:type="dxa" w:w="216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Too restrictive on internal restructuring</w:t>
            </w:r>
          </w:p>
        </w:tc>
        <w:tc>
          <w:tcPr>
            <w:tcW w:type="dxa" w:w="172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Expand to include same-affiliate transfers</w:t>
            </w:r>
          </w:p>
        </w:tc>
        <w:tc>
          <w:tcPr>
            <w:tcW w:type="dxa" w:w="172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Define affiliate broadly</w:t>
            </w:r>
          </w:p>
        </w:tc>
        <w:tc>
          <w:tcPr>
            <w:tcW w:type="dxa" w:w="72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M</w:t>
            </w:r>
          </w:p>
        </w:tc>
        <w:tc>
          <w:tcPr>
            <w:tcW w:type="dxa" w:w="86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Open</w:t>
            </w:r>
          </w:p>
        </w:tc>
      </w:tr>
      <w:tr>
        <w:tc>
          <w:tcPr>
            <w:tcW w:type="dxa" w:w="216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Extension fees</w:t>
            </w:r>
          </w:p>
        </w:tc>
        <w:tc>
          <w:tcPr>
            <w:tcW w:type="dxa" w:w="216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50 bps per 12mo extension is high</w:t>
            </w:r>
          </w:p>
        </w:tc>
        <w:tc>
          <w:tcPr>
            <w:tcW w:type="dxa" w:w="172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25 bps per extension</w:t>
            </w:r>
          </w:p>
        </w:tc>
        <w:tc>
          <w:tcPr>
            <w:tcW w:type="dxa" w:w="172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37.5 bps</w:t>
            </w:r>
          </w:p>
        </w:tc>
        <w:tc>
          <w:tcPr>
            <w:tcW w:type="dxa" w:w="72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L</w:t>
            </w:r>
          </w:p>
        </w:tc>
        <w:tc>
          <w:tcPr>
            <w:tcW w:type="dxa" w:w="86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Open</w:t>
            </w:r>
          </w:p>
        </w:tc>
      </w:tr>
      <w:tr>
        <w:tc>
          <w:tcPr>
            <w:tcW w:type="dxa" w:w="216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Min net worth covenant</w:t>
            </w:r>
          </w:p>
        </w:tc>
        <w:tc>
          <w:tcPr>
            <w:tcW w:type="dxa" w:w="216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$25M net worth restricts other deals</w:t>
            </w:r>
          </w:p>
        </w:tc>
        <w:tc>
          <w:tcPr>
            <w:tcW w:type="dxa" w:w="172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Drop to $20M or scale with deal</w:t>
            </w:r>
          </w:p>
        </w:tc>
        <w:tc>
          <w:tcPr>
            <w:tcW w:type="dxa" w:w="172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$22.5M</w:t>
            </w:r>
          </w:p>
        </w:tc>
        <w:tc>
          <w:tcPr>
            <w:tcW w:type="dxa" w:w="72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M</w:t>
            </w:r>
          </w:p>
        </w:tc>
        <w:tc>
          <w:tcPr>
            <w:tcW w:type="dxa" w:w="86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Open</w:t>
            </w:r>
          </w:p>
        </w:tc>
      </w:tr>
      <w:tr>
        <w:tc>
          <w:tcPr>
            <w:tcW w:type="dxa" w:w="216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Construction completion deadline</w:t>
            </w:r>
          </w:p>
        </w:tc>
        <w:tc>
          <w:tcPr>
            <w:tcW w:type="dxa" w:w="216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36 months is tight for 240 units</w:t>
            </w:r>
          </w:p>
        </w:tc>
        <w:tc>
          <w:tcPr>
            <w:tcW w:type="dxa" w:w="172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42 months + 6-month cure</w:t>
            </w:r>
          </w:p>
        </w:tc>
        <w:tc>
          <w:tcPr>
            <w:tcW w:type="dxa" w:w="1728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39 months + cure</w:t>
            </w:r>
          </w:p>
        </w:tc>
        <w:tc>
          <w:tcPr>
            <w:tcW w:type="dxa" w:w="720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H</w:t>
            </w:r>
          </w:p>
        </w:tc>
        <w:tc>
          <w:tcPr>
            <w:tcW w:type="dxa" w:w="864"/>
            <w:shd w:val="clear" w:color="auto" w:fill="DDEBF7"/>
            <w:tcBorders>
              <w:top w:val="single" w:sz="4" w:color="D8D2C4"/>
              <w:bottom w:val="single" w:sz="4" w:color="D8D2C4"/>
              <w:left w:val="single" w:sz="4" w:color="D8D2C4"/>
              <w:right w:val="single" w:sz="4" w:color="D8D2C4"/>
            </w:tcBorders>
          </w:tcPr>
          <w:p>
            <w:pPr>
              <w:spacing w:before="40"/>
            </w:pPr>
            <w:r>
              <w:rPr>
                <w:rFonts w:ascii="Calibri" w:hAnsi="Calibri"/>
                <w:color w:val="16192A"/>
                <w:sz w:val="18"/>
              </w:rPr>
              <w:t>Open</w:t>
            </w:r>
          </w:p>
        </w:tc>
      </w:tr>
    </w:tbl>
    <w:p>
      <w:r>
        <w:br w:type="page"/>
      </w:r>
    </w:p>
    <w:p>
      <w:pPr>
        <w:spacing w:before="360" w:after="120"/>
      </w:pPr>
      <w:r>
        <w:rPr>
          <w:rFonts w:ascii="Calibri" w:hAnsi="Calibri"/>
          <w:b/>
          <w:color w:val="B89A5B"/>
          <w:sz w:val="22"/>
        </w:rPr>
        <w:t>17 · FINAL DECISION SUMMARY</w:t>
      </w:r>
    </w:p>
    <w:p>
      <w:pPr>
        <w:spacing w:before="0" w:after="120"/>
        <w:pBdr>
          <w:bottom w:val="single" w:sz="6" w:color="D8D2C4"/>
        </w:pBdr>
      </w:pPr>
    </w:p>
    <w:p>
      <w:pPr>
        <w:spacing w:after="80"/>
      </w:pPr>
      <w:r>
        <w:rPr>
          <w:rFonts w:ascii="Calibri" w:hAnsi="Calibri"/>
          <w:i w:val="0"/>
          <w:sz w:val="20"/>
        </w:rPr>
        <w:t>Bank A's term sheet is the lowest-cost option (Sofr+275, 1.00% orig) but trades full recourse and 70-90 day close. The deal team's analysis: Bank A's terms are best on cost, second on certainty, fourth on flexibility. Push for recourse burnoff and fee reduction in the next round; secondary path is Debt Fund B (non-recourse at 150 bps higher).</w:t>
      </w:r>
    </w:p>
    <w:p>
      <w:pPr>
        <w:spacing w:after="80"/>
      </w:pPr>
      <w:r>
        <w:rPr>
          <w:rFonts w:ascii="Calibri" w:hAnsi="Calibri"/>
          <w:i/>
          <w:color w:val="3D4757"/>
          <w:sz w:val="20"/>
        </w:rPr>
        <w:t>Key concessions needed before signing:</w:t>
      </w:r>
    </w:p>
    <w:p>
      <w:pPr>
        <w:pStyle w:val="ListBullet"/>
      </w:pPr>
      <w:r>
        <w:rPr>
          <w:rFonts w:ascii="Calibri" w:hAnsi="Calibri"/>
          <w:sz w:val="20"/>
        </w:rPr>
        <w:t>Recourse burnoff to 50% at stabilization with DSCR test (priority HIGH)</w:t>
      </w:r>
    </w:p>
    <w:p>
      <w:pPr>
        <w:pStyle w:val="ListBullet"/>
      </w:pPr>
      <w:r>
        <w:rPr>
          <w:rFonts w:ascii="Calibri" w:hAnsi="Calibri"/>
          <w:sz w:val="20"/>
        </w:rPr>
        <w:t>Completion deadline 39 months + 6-month cure (priority HIGH)</w:t>
      </w:r>
    </w:p>
    <w:p>
      <w:pPr>
        <w:pStyle w:val="ListBullet"/>
      </w:pPr>
      <w:r>
        <w:rPr>
          <w:rFonts w:ascii="Calibri" w:hAnsi="Calibri"/>
          <w:sz w:val="20"/>
        </w:rPr>
        <w:t>Min net worth covenant reduced to $22.5M (priority MEDIUM)</w:t>
      </w:r>
    </w:p>
    <w:p>
      <w:pPr>
        <w:spacing w:after="80"/>
      </w:pPr>
      <w:r>
        <w:rPr>
          <w:rFonts w:ascii="Calibri" w:hAnsi="Calibri"/>
          <w:i w:val="0"/>
          <w:sz w:val="20"/>
        </w:rPr>
        <w:t>Recommendation: NEGOTIATE — accept Bank A pending concessions above.</w:t>
      </w:r>
    </w:p>
    <w:p/>
    <w:p>
      <w:r>
        <w:rPr>
          <w:rFonts w:ascii="Calibri" w:hAnsi="Calibri"/>
          <w:i/>
          <w:color w:val="6B7280"/>
          <w:sz w:val="16"/>
        </w:rPr>
        <w:t>Valore Registry · Term Sheet Reader · v1.0 · 2026-05-21 · Confidential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